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28552623" w:rsidR="00D3721A" w:rsidRPr="00E15487" w:rsidRDefault="00923381" w:rsidP="00D3721A">
      <w:pPr>
        <w:jc w:val="center"/>
        <w:rPr>
          <w:b/>
          <w:sz w:val="20"/>
          <w:szCs w:val="20"/>
          <w:lang w:val="fr-LU"/>
        </w:rPr>
      </w:pPr>
      <w:r w:rsidRPr="00E15487">
        <w:rPr>
          <w:b/>
          <w:sz w:val="20"/>
          <w:szCs w:val="20"/>
          <w:lang w:val="fr-LU"/>
        </w:rPr>
        <w:t xml:space="preserve">Registered </w:t>
      </w:r>
      <w:proofErr w:type="gramStart"/>
      <w:r w:rsidRPr="00E15487">
        <w:rPr>
          <w:b/>
          <w:sz w:val="20"/>
          <w:szCs w:val="20"/>
          <w:lang w:val="fr-LU"/>
        </w:rPr>
        <w:t>office:</w:t>
      </w:r>
      <w:proofErr w:type="gramEnd"/>
      <w:r w:rsidRPr="00E15487">
        <w:rPr>
          <w:b/>
          <w:sz w:val="20"/>
          <w:szCs w:val="20"/>
          <w:lang w:val="fr-LU"/>
        </w:rPr>
        <w:t xml:space="preserve"> 9, rue de </w:t>
      </w:r>
      <w:proofErr w:type="spellStart"/>
      <w:r w:rsidRPr="00E15487">
        <w:rPr>
          <w:b/>
          <w:sz w:val="20"/>
          <w:szCs w:val="20"/>
          <w:lang w:val="fr-LU"/>
        </w:rPr>
        <w:t>Bitbourg</w:t>
      </w:r>
      <w:proofErr w:type="spellEnd"/>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0D77F225" w:rsidR="00F41374" w:rsidRPr="009D588B" w:rsidRDefault="005A58BC" w:rsidP="00F41374">
      <w:pPr>
        <w:jc w:val="center"/>
        <w:outlineLvl w:val="0"/>
        <w:rPr>
          <w:b/>
          <w:sz w:val="20"/>
          <w:szCs w:val="20"/>
          <w:u w:val="single"/>
        </w:rPr>
      </w:pPr>
      <w:r>
        <w:rPr>
          <w:b/>
          <w:sz w:val="20"/>
          <w:szCs w:val="20"/>
          <w:lang w:val="en-GB"/>
        </w:rPr>
        <w:t>EXTRAORDINARY</w:t>
      </w:r>
      <w:r w:rsidRPr="00240FBC">
        <w:rPr>
          <w:b/>
          <w:sz w:val="20"/>
          <w:szCs w:val="20"/>
          <w:lang w:val="en-GB"/>
        </w:rPr>
        <w:t xml:space="preserve"> GENERAL MEETING OF SHAREHOLDERS TO BE HELD ON </w:t>
      </w:r>
      <w:r w:rsidR="00B7057E">
        <w:rPr>
          <w:b/>
          <w:sz w:val="20"/>
          <w:szCs w:val="20"/>
        </w:rPr>
        <w:t>1</w:t>
      </w:r>
      <w:r>
        <w:rPr>
          <w:b/>
          <w:sz w:val="20"/>
          <w:szCs w:val="20"/>
        </w:rPr>
        <w:t xml:space="preserve"> </w:t>
      </w:r>
      <w:r w:rsidR="00B7057E">
        <w:rPr>
          <w:b/>
          <w:sz w:val="20"/>
          <w:szCs w:val="20"/>
        </w:rPr>
        <w:t>JU</w:t>
      </w:r>
      <w:r w:rsidR="00AE0CB9">
        <w:rPr>
          <w:b/>
          <w:sz w:val="20"/>
          <w:szCs w:val="20"/>
        </w:rPr>
        <w:t>LY</w:t>
      </w:r>
      <w:r w:rsidR="00B7057E">
        <w:rPr>
          <w:b/>
          <w:sz w:val="20"/>
          <w:szCs w:val="20"/>
        </w:rPr>
        <w:t xml:space="preserve"> </w:t>
      </w:r>
      <w:r>
        <w:rPr>
          <w:b/>
          <w:sz w:val="20"/>
          <w:szCs w:val="20"/>
          <w:lang w:val="en-GB"/>
        </w:rPr>
        <w:t>202</w:t>
      </w:r>
      <w:r w:rsidR="00B7057E">
        <w:rPr>
          <w:b/>
          <w:sz w:val="20"/>
          <w:szCs w:val="20"/>
          <w:lang w:val="en-GB"/>
        </w:rPr>
        <w:t>2</w:t>
      </w:r>
    </w:p>
    <w:p w14:paraId="2ABC6417" w14:textId="77777777" w:rsidR="00F41374" w:rsidRPr="009D588B" w:rsidRDefault="00F41374" w:rsidP="00F41374">
      <w:pPr>
        <w:jc w:val="center"/>
        <w:outlineLvl w:val="0"/>
        <w:rPr>
          <w:b/>
          <w:sz w:val="20"/>
          <w:szCs w:val="20"/>
        </w:rPr>
      </w:pPr>
    </w:p>
    <w:p w14:paraId="18589F73" w14:textId="43487126" w:rsidR="00F41374" w:rsidRPr="009D588B" w:rsidRDefault="00B7057E" w:rsidP="00F41374">
      <w:pPr>
        <w:jc w:val="center"/>
        <w:outlineLvl w:val="0"/>
        <w:rPr>
          <w:b/>
          <w:sz w:val="20"/>
          <w:szCs w:val="20"/>
        </w:rPr>
      </w:pPr>
      <w:r>
        <w:rPr>
          <w:b/>
          <w:sz w:val="20"/>
          <w:szCs w:val="20"/>
        </w:rPr>
        <w:t>1</w:t>
      </w:r>
      <w:r w:rsidR="00F41374" w:rsidRPr="009D588B">
        <w:rPr>
          <w:b/>
          <w:sz w:val="20"/>
          <w:szCs w:val="20"/>
        </w:rPr>
        <w:t xml:space="preserve"> </w:t>
      </w:r>
      <w:r>
        <w:rPr>
          <w:b/>
          <w:sz w:val="20"/>
          <w:szCs w:val="20"/>
        </w:rPr>
        <w:t>Ju</w:t>
      </w:r>
      <w:r w:rsidR="00AE0CB9">
        <w:rPr>
          <w:b/>
          <w:sz w:val="20"/>
          <w:szCs w:val="20"/>
        </w:rPr>
        <w:t>ly</w:t>
      </w:r>
      <w:r w:rsidR="00F41374" w:rsidRPr="009D588B">
        <w:rPr>
          <w:b/>
          <w:sz w:val="20"/>
          <w:szCs w:val="20"/>
        </w:rPr>
        <w:t xml:space="preserve"> </w:t>
      </w:r>
      <w:r w:rsidR="00413742">
        <w:rPr>
          <w:b/>
          <w:sz w:val="20"/>
          <w:szCs w:val="20"/>
        </w:rPr>
        <w:t>20</w:t>
      </w:r>
      <w:r w:rsidR="006D2B91">
        <w:rPr>
          <w:b/>
          <w:sz w:val="20"/>
          <w:szCs w:val="20"/>
        </w:rPr>
        <w:t>2</w:t>
      </w:r>
      <w:r>
        <w:rPr>
          <w:b/>
          <w:sz w:val="20"/>
          <w:szCs w:val="20"/>
        </w:rPr>
        <w:t>2</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2537C6E4" w:rsidR="00F41374" w:rsidRPr="005A58BC" w:rsidRDefault="005A58BC" w:rsidP="00F41374">
      <w:pPr>
        <w:jc w:val="both"/>
        <w:rPr>
          <w:sz w:val="20"/>
          <w:szCs w:val="20"/>
          <w:lang w:val="uk-UA"/>
        </w:rPr>
      </w:pPr>
      <w:r w:rsidRPr="00240FBC">
        <w:rPr>
          <w:sz w:val="20"/>
          <w:szCs w:val="20"/>
          <w:lang w:val="en-GB"/>
        </w:rPr>
        <w:t xml:space="preserve">For use in connection with the </w:t>
      </w:r>
      <w:bookmarkStart w:id="0" w:name="_Hlk78188023"/>
      <w:r>
        <w:rPr>
          <w:sz w:val="20"/>
          <w:szCs w:val="20"/>
          <w:lang w:val="en-GB"/>
        </w:rPr>
        <w:t>extraordinary</w:t>
      </w:r>
      <w:r w:rsidRPr="00240FBC">
        <w:rPr>
          <w:sz w:val="20"/>
          <w:szCs w:val="20"/>
          <w:lang w:val="en-GB"/>
        </w:rPr>
        <w:t xml:space="preserve"> </w:t>
      </w:r>
      <w:bookmarkEnd w:id="0"/>
      <w:r w:rsidRPr="00240FBC">
        <w:rPr>
          <w:sz w:val="20"/>
          <w:szCs w:val="20"/>
          <w:lang w:val="en-GB"/>
        </w:rPr>
        <w:t xml:space="preserve">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h</w:t>
      </w:r>
      <w:r>
        <w:rPr>
          <w:sz w:val="20"/>
          <w:szCs w:val="20"/>
          <w:lang w:val="en-GB"/>
        </w:rPr>
        <w:t xml:space="preserve">aving its registered office at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xml:space="preserve">”) to be held on </w:t>
      </w:r>
      <w:r w:rsidR="00B7057E">
        <w:rPr>
          <w:sz w:val="20"/>
          <w:szCs w:val="20"/>
          <w:lang w:val="en-GB"/>
        </w:rPr>
        <w:t>1</w:t>
      </w:r>
      <w:r>
        <w:rPr>
          <w:sz w:val="20"/>
          <w:szCs w:val="20"/>
          <w:lang w:val="en-GB"/>
        </w:rPr>
        <w:t xml:space="preserve"> </w:t>
      </w:r>
      <w:r w:rsidR="00B7057E">
        <w:rPr>
          <w:sz w:val="20"/>
          <w:szCs w:val="20"/>
          <w:lang w:val="en-GB"/>
        </w:rPr>
        <w:t>Ju</w:t>
      </w:r>
      <w:r w:rsidR="00AE0CB9">
        <w:rPr>
          <w:sz w:val="20"/>
          <w:szCs w:val="20"/>
          <w:lang w:val="en-GB"/>
        </w:rPr>
        <w:t>ly</w:t>
      </w:r>
      <w:r w:rsidR="00B7057E">
        <w:rPr>
          <w:sz w:val="20"/>
          <w:szCs w:val="20"/>
          <w:lang w:val="en-GB"/>
        </w:rPr>
        <w:t xml:space="preserve"> </w:t>
      </w:r>
      <w:r w:rsidRPr="00240FBC">
        <w:rPr>
          <w:sz w:val="20"/>
          <w:szCs w:val="20"/>
          <w:lang w:val="en-GB"/>
        </w:rPr>
        <w:t>20</w:t>
      </w:r>
      <w:r>
        <w:rPr>
          <w:sz w:val="20"/>
          <w:szCs w:val="20"/>
          <w:lang w:val="en-GB"/>
        </w:rPr>
        <w:t>2</w:t>
      </w:r>
      <w:r w:rsidR="00B7057E">
        <w:rPr>
          <w:sz w:val="20"/>
          <w:szCs w:val="20"/>
          <w:lang w:val="en-GB"/>
        </w:rPr>
        <w:t>2</w:t>
      </w:r>
      <w:r>
        <w:rPr>
          <w:sz w:val="20"/>
          <w:szCs w:val="20"/>
          <w:lang w:val="en-GB"/>
        </w:rPr>
        <w:t xml:space="preserve"> at 3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L-1273 Luxembourg (the “</w:t>
      </w:r>
      <w:r w:rsidRPr="00240FBC">
        <w:rPr>
          <w:b/>
          <w:sz w:val="20"/>
          <w:szCs w:val="20"/>
          <w:lang w:val="en-GB"/>
        </w:rPr>
        <w:t>Meeting</w:t>
      </w:r>
      <w:r w:rsidRPr="00240FBC">
        <w:rPr>
          <w:sz w:val="20"/>
          <w:szCs w:val="20"/>
          <w:lang w:val="en-GB"/>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1" w:name="modam"/>
            <w:bookmarkEnd w:id="1"/>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622CDD82" w:rsidR="009B5F30" w:rsidRPr="009D588B" w:rsidRDefault="009B5F30" w:rsidP="00844BFA">
      <w:pPr>
        <w:rPr>
          <w:b/>
          <w:bCs/>
          <w:sz w:val="20"/>
          <w:szCs w:val="20"/>
        </w:rPr>
      </w:pPr>
      <w:r w:rsidRPr="009D588B">
        <w:rPr>
          <w:sz w:val="20"/>
          <w:szCs w:val="20"/>
        </w:rPr>
        <w:t>being a shareholder of the C</w:t>
      </w:r>
      <w:r w:rsidR="00553D33">
        <w:rPr>
          <w:sz w:val="20"/>
          <w:szCs w:val="20"/>
        </w:rPr>
        <w:t>ompany hereby appoint Frédéric Playe</w:t>
      </w:r>
      <w:r w:rsidRPr="009D588B">
        <w:rPr>
          <w:sz w:val="20"/>
          <w:szCs w:val="20"/>
        </w:rPr>
        <w:t xml:space="preserve">, </w:t>
      </w:r>
      <w:proofErr w:type="spellStart"/>
      <w:r w:rsidR="00553D33">
        <w:rPr>
          <w:i/>
          <w:sz w:val="20"/>
          <w:szCs w:val="20"/>
          <w:lang w:val="en-GB"/>
        </w:rPr>
        <w:t>Juriste</w:t>
      </w:r>
      <w:proofErr w:type="spellEnd"/>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12FE5142"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B7057E">
        <w:rPr>
          <w:b/>
          <w:sz w:val="20"/>
          <w:szCs w:val="20"/>
        </w:rPr>
        <w:t>1</w:t>
      </w:r>
      <w:r w:rsidR="009B5F30" w:rsidRPr="009D588B">
        <w:rPr>
          <w:b/>
          <w:sz w:val="20"/>
          <w:szCs w:val="20"/>
        </w:rPr>
        <w:t xml:space="preserve"> </w:t>
      </w:r>
      <w:r w:rsidR="00B7057E">
        <w:rPr>
          <w:b/>
          <w:sz w:val="20"/>
          <w:szCs w:val="20"/>
        </w:rPr>
        <w:t>Ju</w:t>
      </w:r>
      <w:r w:rsidR="00AE0CB9">
        <w:rPr>
          <w:b/>
          <w:sz w:val="20"/>
          <w:szCs w:val="20"/>
        </w:rPr>
        <w:t>ly</w:t>
      </w:r>
      <w:r w:rsidR="00B7057E">
        <w:rPr>
          <w:b/>
          <w:sz w:val="20"/>
          <w:szCs w:val="20"/>
        </w:rPr>
        <w:t xml:space="preserve"> </w:t>
      </w:r>
      <w:r w:rsidR="00E95879">
        <w:rPr>
          <w:b/>
          <w:sz w:val="20"/>
          <w:szCs w:val="20"/>
        </w:rPr>
        <w:t>20</w:t>
      </w:r>
      <w:r w:rsidR="006D2B91">
        <w:rPr>
          <w:b/>
          <w:sz w:val="20"/>
          <w:szCs w:val="20"/>
        </w:rPr>
        <w:t>2</w:t>
      </w:r>
      <w:r w:rsidR="00B7057E">
        <w:rPr>
          <w:b/>
          <w:sz w:val="20"/>
          <w:szCs w:val="20"/>
        </w:rPr>
        <w:t>2</w:t>
      </w:r>
      <w:r w:rsidR="009B5F30" w:rsidRPr="009D588B">
        <w:rPr>
          <w:sz w:val="20"/>
          <w:szCs w:val="20"/>
        </w:rPr>
        <w:t xml:space="preserve"> (and at any adjournment thereof) and to vote for me and in my name on the resolutions set out in the notice of meeting dated </w:t>
      </w:r>
      <w:r w:rsidR="00071EA1">
        <w:rPr>
          <w:b/>
          <w:sz w:val="20"/>
          <w:szCs w:val="20"/>
        </w:rPr>
        <w:t>1</w:t>
      </w:r>
      <w:r w:rsidR="009B5F30" w:rsidRPr="009D588B">
        <w:rPr>
          <w:b/>
          <w:sz w:val="20"/>
          <w:szCs w:val="20"/>
        </w:rPr>
        <w:t xml:space="preserve"> </w:t>
      </w:r>
      <w:r w:rsidR="00AE0CB9">
        <w:rPr>
          <w:b/>
          <w:sz w:val="20"/>
          <w:szCs w:val="20"/>
        </w:rPr>
        <w:t>June</w:t>
      </w:r>
      <w:r w:rsidR="009B5F30" w:rsidRPr="009D588B">
        <w:rPr>
          <w:b/>
          <w:sz w:val="20"/>
          <w:szCs w:val="20"/>
        </w:rPr>
        <w:t xml:space="preserve"> </w:t>
      </w:r>
      <w:r w:rsidR="005B498E">
        <w:rPr>
          <w:b/>
          <w:sz w:val="20"/>
          <w:szCs w:val="20"/>
        </w:rPr>
        <w:t>20</w:t>
      </w:r>
      <w:r w:rsidR="006D2B91">
        <w:rPr>
          <w:b/>
          <w:sz w:val="20"/>
          <w:szCs w:val="20"/>
        </w:rPr>
        <w:t>2</w:t>
      </w:r>
      <w:r w:rsidR="00B7057E">
        <w:rPr>
          <w:b/>
          <w:sz w:val="20"/>
          <w:szCs w:val="20"/>
        </w:rPr>
        <w:t>2</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844BFA" w:rsidRPr="009D588B" w14:paraId="0B412757" w14:textId="77777777" w:rsidTr="005A58BC">
        <w:trPr>
          <w:tblHeader/>
        </w:trPr>
        <w:tc>
          <w:tcPr>
            <w:tcW w:w="454"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5A58BC">
        <w:tc>
          <w:tcPr>
            <w:tcW w:w="454"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22059828" w14:textId="1978791C" w:rsidR="00B7057E" w:rsidRDefault="00B7057E" w:rsidP="00B7057E">
            <w:pPr>
              <w:jc w:val="both"/>
              <w:rPr>
                <w:sz w:val="20"/>
                <w:szCs w:val="20"/>
              </w:rPr>
            </w:pPr>
            <w:r w:rsidRPr="005E267A">
              <w:rPr>
                <w:sz w:val="20"/>
                <w:szCs w:val="20"/>
              </w:rPr>
              <w:t>Further to the resignation letter signed by Mr. Sergei Shibaev on 12 March 2022, the general meeting of shareholders resolves to acknowledge the resignation of Mr. Sergei Shibaev from his mandate as non-executive independent director of the Company with effect as of 12 March 2022.</w:t>
            </w:r>
          </w:p>
          <w:p w14:paraId="3DCAF912" w14:textId="77777777" w:rsidR="00B7057E" w:rsidRPr="005E267A" w:rsidRDefault="00B7057E" w:rsidP="00B7057E">
            <w:pPr>
              <w:jc w:val="both"/>
              <w:rPr>
                <w:sz w:val="20"/>
                <w:szCs w:val="20"/>
              </w:rPr>
            </w:pPr>
          </w:p>
          <w:p w14:paraId="3E8C4ACB" w14:textId="77777777" w:rsidR="00A548B6" w:rsidRDefault="00B7057E" w:rsidP="00B7057E">
            <w:pPr>
              <w:autoSpaceDE w:val="0"/>
              <w:autoSpaceDN w:val="0"/>
              <w:adjustRightInd w:val="0"/>
              <w:jc w:val="both"/>
              <w:rPr>
                <w:sz w:val="20"/>
                <w:szCs w:val="20"/>
              </w:rPr>
            </w:pPr>
            <w:r w:rsidRPr="005E267A">
              <w:rPr>
                <w:sz w:val="20"/>
                <w:szCs w:val="20"/>
              </w:rPr>
              <w:t>The general meeting of shareholders further decides to grant him full discharge for the exercise of his mandate.</w:t>
            </w:r>
          </w:p>
          <w:p w14:paraId="4FD74EE0" w14:textId="69C826FB" w:rsidR="00B7057E" w:rsidRPr="009D588B" w:rsidRDefault="00B7057E" w:rsidP="00B7057E">
            <w:pPr>
              <w:autoSpaceDE w:val="0"/>
              <w:autoSpaceDN w:val="0"/>
              <w:adjustRightInd w:val="0"/>
              <w:jc w:val="both"/>
              <w:rPr>
                <w:sz w:val="20"/>
                <w:szCs w:val="20"/>
              </w:rPr>
            </w:pP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5A58BC">
        <w:tc>
          <w:tcPr>
            <w:tcW w:w="454"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0FA65683" w14:textId="77777777" w:rsidR="00B7057E" w:rsidRPr="005E267A" w:rsidRDefault="00B7057E" w:rsidP="00B7057E">
            <w:pPr>
              <w:jc w:val="both"/>
              <w:rPr>
                <w:rFonts w:eastAsia="PMingLiU"/>
                <w:iCs/>
                <w:sz w:val="20"/>
                <w:szCs w:val="20"/>
                <w:lang w:eastAsia="zh-TW"/>
              </w:rPr>
            </w:pPr>
            <w:r w:rsidRPr="005E267A">
              <w:rPr>
                <w:rFonts w:eastAsia="PMingLiU"/>
                <w:iCs/>
                <w:sz w:val="20"/>
                <w:szCs w:val="20"/>
                <w:lang w:eastAsia="zh-TW"/>
              </w:rPr>
              <w:t xml:space="preserve">The general meeting of shareholders resolves to ratify, the co-optation by the board of directors of the Company on 15 April 2022 of Mr. Andrii Miski-Oglu, born on </w:t>
            </w:r>
            <w:bookmarkStart w:id="2" w:name="_Hlk102552470"/>
            <w:r>
              <w:rPr>
                <w:rFonts w:eastAsia="PMingLiU"/>
                <w:iCs/>
                <w:sz w:val="20"/>
                <w:szCs w:val="20"/>
                <w:lang w:eastAsia="zh-TW"/>
              </w:rPr>
              <w:t>17 May 1977</w:t>
            </w:r>
            <w:r w:rsidRPr="005E267A">
              <w:rPr>
                <w:rFonts w:eastAsia="PMingLiU"/>
                <w:iCs/>
                <w:sz w:val="20"/>
                <w:szCs w:val="20"/>
                <w:lang w:eastAsia="zh-TW"/>
              </w:rPr>
              <w:t xml:space="preserve"> </w:t>
            </w:r>
            <w:bookmarkEnd w:id="2"/>
            <w:r w:rsidRPr="005E267A">
              <w:rPr>
                <w:rFonts w:eastAsia="PMingLiU"/>
                <w:iCs/>
                <w:sz w:val="20"/>
                <w:szCs w:val="20"/>
                <w:lang w:eastAsia="zh-TW"/>
              </w:rPr>
              <w:t xml:space="preserve">in </w:t>
            </w:r>
            <w:bookmarkStart w:id="3" w:name="_Hlk102552482"/>
            <w:proofErr w:type="spellStart"/>
            <w:r w:rsidRPr="00EF14DF">
              <w:rPr>
                <w:rFonts w:eastAsia="PMingLiU"/>
                <w:iCs/>
                <w:sz w:val="20"/>
                <w:szCs w:val="20"/>
                <w:lang w:eastAsia="zh-TW"/>
              </w:rPr>
              <w:t>Lodeynoye</w:t>
            </w:r>
            <w:proofErr w:type="spellEnd"/>
            <w:r w:rsidRPr="00EF14DF">
              <w:rPr>
                <w:rFonts w:eastAsia="PMingLiU"/>
                <w:iCs/>
                <w:sz w:val="20"/>
                <w:szCs w:val="20"/>
                <w:lang w:eastAsia="zh-TW"/>
              </w:rPr>
              <w:t xml:space="preserve"> Pole, Leningrad oblast, former USSR</w:t>
            </w:r>
            <w:bookmarkEnd w:id="3"/>
            <w:r w:rsidRPr="005E267A">
              <w:rPr>
                <w:rFonts w:eastAsia="PMingLiU"/>
                <w:iCs/>
                <w:sz w:val="20"/>
                <w:szCs w:val="20"/>
                <w:lang w:eastAsia="zh-TW"/>
              </w:rPr>
              <w:t>, and residing at 345 E, Wacker Drive, Apartment 2812, 60601, Chicago, United States as non-executive independent director of the Company in replacement of Mr. Sergei Shibaev.</w:t>
            </w:r>
          </w:p>
          <w:p w14:paraId="16B0F7D9" w14:textId="77777777" w:rsidR="00B7057E" w:rsidRDefault="00B7057E" w:rsidP="00B7057E">
            <w:pPr>
              <w:autoSpaceDE w:val="0"/>
              <w:autoSpaceDN w:val="0"/>
              <w:adjustRightInd w:val="0"/>
              <w:jc w:val="both"/>
              <w:rPr>
                <w:rFonts w:eastAsia="PMingLiU"/>
                <w:iCs/>
                <w:sz w:val="20"/>
                <w:szCs w:val="20"/>
                <w:lang w:eastAsia="zh-TW"/>
              </w:rPr>
            </w:pPr>
          </w:p>
          <w:p w14:paraId="72340315" w14:textId="77777777" w:rsidR="00153951" w:rsidRDefault="00B7057E" w:rsidP="00B7057E">
            <w:pPr>
              <w:autoSpaceDE w:val="0"/>
              <w:autoSpaceDN w:val="0"/>
              <w:adjustRightInd w:val="0"/>
              <w:jc w:val="both"/>
              <w:rPr>
                <w:rFonts w:eastAsia="PMingLiU"/>
                <w:iCs/>
                <w:sz w:val="20"/>
                <w:szCs w:val="20"/>
                <w:lang w:eastAsia="zh-TW"/>
              </w:rPr>
            </w:pPr>
            <w:r w:rsidRPr="005E267A">
              <w:rPr>
                <w:rFonts w:eastAsia="PMingLiU"/>
                <w:iCs/>
                <w:sz w:val="20"/>
                <w:szCs w:val="20"/>
                <w:lang w:eastAsia="zh-TW"/>
              </w:rPr>
              <w:t>The general meeting of shareholders further resolves to appoint Mr. Andrii Miski-Oglu as non-executive independent director of the Company until the next annual general meeting of shareholders of the Company to be held in 202</w:t>
            </w:r>
            <w:r>
              <w:rPr>
                <w:rFonts w:eastAsia="PMingLiU"/>
                <w:iCs/>
                <w:sz w:val="20"/>
                <w:szCs w:val="20"/>
                <w:lang w:eastAsia="zh-TW"/>
              </w:rPr>
              <w:t>2</w:t>
            </w:r>
            <w:r w:rsidRPr="005E267A">
              <w:rPr>
                <w:rFonts w:eastAsia="PMingLiU"/>
                <w:iCs/>
                <w:sz w:val="20"/>
                <w:szCs w:val="20"/>
                <w:lang w:eastAsia="zh-TW"/>
              </w:rPr>
              <w:t>.</w:t>
            </w:r>
          </w:p>
          <w:p w14:paraId="448E7B5D" w14:textId="1E20FA6E" w:rsidR="00B7057E" w:rsidRPr="009D588B" w:rsidRDefault="00B7057E" w:rsidP="00B7057E">
            <w:pPr>
              <w:autoSpaceDE w:val="0"/>
              <w:autoSpaceDN w:val="0"/>
              <w:adjustRightInd w:val="0"/>
              <w:jc w:val="both"/>
              <w:rPr>
                <w:sz w:val="20"/>
                <w:szCs w:val="20"/>
                <w:highlight w:val="yellow"/>
              </w:rPr>
            </w:pP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AE0CB9" w:rsidRPr="009D588B" w14:paraId="6BAF0842" w14:textId="77777777" w:rsidTr="005A58BC">
        <w:tc>
          <w:tcPr>
            <w:tcW w:w="454" w:type="dxa"/>
          </w:tcPr>
          <w:p w14:paraId="730359EC" w14:textId="2745B1D1" w:rsidR="00AE0CB9" w:rsidRPr="009D588B" w:rsidRDefault="00AE0CB9" w:rsidP="00AE0CB9">
            <w:pPr>
              <w:rPr>
                <w:sz w:val="20"/>
                <w:szCs w:val="20"/>
                <w:lang w:val="en-GB"/>
              </w:rPr>
            </w:pPr>
            <w:r>
              <w:rPr>
                <w:sz w:val="20"/>
                <w:szCs w:val="20"/>
                <w:lang w:val="en-GB"/>
              </w:rPr>
              <w:t>3</w:t>
            </w:r>
          </w:p>
        </w:tc>
        <w:tc>
          <w:tcPr>
            <w:tcW w:w="6406" w:type="dxa"/>
          </w:tcPr>
          <w:p w14:paraId="6E40298C" w14:textId="77777777" w:rsidR="00AE0CB9" w:rsidRPr="00906047" w:rsidRDefault="00AE0CB9" w:rsidP="00AE0CB9">
            <w:pPr>
              <w:jc w:val="both"/>
              <w:rPr>
                <w:bCs/>
                <w:sz w:val="20"/>
                <w:szCs w:val="20"/>
              </w:rPr>
            </w:pPr>
            <w:r w:rsidRPr="00906047">
              <w:rPr>
                <w:bCs/>
                <w:sz w:val="20"/>
                <w:szCs w:val="20"/>
              </w:rPr>
              <w:t>Further to the resignation letter signed by Mr</w:t>
            </w:r>
            <w:r>
              <w:rPr>
                <w:bCs/>
                <w:sz w:val="20"/>
                <w:szCs w:val="20"/>
              </w:rPr>
              <w:t>s</w:t>
            </w:r>
            <w:r w:rsidRPr="00906047">
              <w:rPr>
                <w:bCs/>
                <w:sz w:val="20"/>
                <w:szCs w:val="20"/>
              </w:rPr>
              <w:t xml:space="preserve">. </w:t>
            </w:r>
            <w:r>
              <w:rPr>
                <w:bCs/>
                <w:sz w:val="20"/>
                <w:szCs w:val="20"/>
              </w:rPr>
              <w:t>Nathalie</w:t>
            </w:r>
            <w:r w:rsidRPr="00906047">
              <w:rPr>
                <w:bCs/>
                <w:sz w:val="20"/>
                <w:szCs w:val="20"/>
              </w:rPr>
              <w:t xml:space="preserve"> </w:t>
            </w:r>
            <w:r>
              <w:rPr>
                <w:bCs/>
                <w:sz w:val="20"/>
                <w:szCs w:val="20"/>
              </w:rPr>
              <w:t xml:space="preserve">Bachich </w:t>
            </w:r>
            <w:r w:rsidRPr="00906047">
              <w:rPr>
                <w:bCs/>
                <w:sz w:val="20"/>
                <w:szCs w:val="20"/>
              </w:rPr>
              <w:t xml:space="preserve">on </w:t>
            </w:r>
            <w:r>
              <w:rPr>
                <w:bCs/>
                <w:sz w:val="20"/>
                <w:szCs w:val="20"/>
              </w:rPr>
              <w:t>7</w:t>
            </w:r>
            <w:r w:rsidRPr="00906047">
              <w:rPr>
                <w:bCs/>
                <w:sz w:val="20"/>
                <w:szCs w:val="20"/>
              </w:rPr>
              <w:t xml:space="preserve"> </w:t>
            </w:r>
            <w:r>
              <w:rPr>
                <w:bCs/>
                <w:sz w:val="20"/>
                <w:szCs w:val="20"/>
              </w:rPr>
              <w:t>May</w:t>
            </w:r>
            <w:r w:rsidRPr="00906047">
              <w:rPr>
                <w:bCs/>
                <w:sz w:val="20"/>
                <w:szCs w:val="20"/>
              </w:rPr>
              <w:t xml:space="preserve"> 2022, the general meeting of shareholders resolves to acknowledge the resignation of Mr</w:t>
            </w:r>
            <w:r>
              <w:rPr>
                <w:bCs/>
                <w:sz w:val="20"/>
                <w:szCs w:val="20"/>
              </w:rPr>
              <w:t>s</w:t>
            </w:r>
            <w:r w:rsidRPr="00906047">
              <w:rPr>
                <w:bCs/>
                <w:sz w:val="20"/>
                <w:szCs w:val="20"/>
              </w:rPr>
              <w:t xml:space="preserve">. </w:t>
            </w:r>
            <w:r>
              <w:rPr>
                <w:bCs/>
                <w:sz w:val="20"/>
                <w:szCs w:val="20"/>
              </w:rPr>
              <w:t>Nathalie</w:t>
            </w:r>
            <w:r w:rsidRPr="00906047">
              <w:rPr>
                <w:bCs/>
                <w:sz w:val="20"/>
                <w:szCs w:val="20"/>
              </w:rPr>
              <w:t xml:space="preserve"> </w:t>
            </w:r>
            <w:r>
              <w:rPr>
                <w:bCs/>
                <w:sz w:val="20"/>
                <w:szCs w:val="20"/>
              </w:rPr>
              <w:t>Bachich</w:t>
            </w:r>
            <w:r w:rsidRPr="00906047">
              <w:rPr>
                <w:bCs/>
                <w:sz w:val="20"/>
                <w:szCs w:val="20"/>
              </w:rPr>
              <w:t xml:space="preserve"> from </w:t>
            </w:r>
            <w:r>
              <w:rPr>
                <w:bCs/>
                <w:sz w:val="20"/>
                <w:szCs w:val="20"/>
              </w:rPr>
              <w:t xml:space="preserve">her </w:t>
            </w:r>
            <w:r w:rsidRPr="00906047">
              <w:rPr>
                <w:bCs/>
                <w:sz w:val="20"/>
                <w:szCs w:val="20"/>
              </w:rPr>
              <w:t xml:space="preserve">mandate as non-executive independent director of the Company with effect as of </w:t>
            </w:r>
            <w:r>
              <w:rPr>
                <w:bCs/>
                <w:sz w:val="20"/>
                <w:szCs w:val="20"/>
              </w:rPr>
              <w:t>22</w:t>
            </w:r>
            <w:r w:rsidRPr="00906047">
              <w:rPr>
                <w:bCs/>
                <w:sz w:val="20"/>
                <w:szCs w:val="20"/>
              </w:rPr>
              <w:t xml:space="preserve"> </w:t>
            </w:r>
            <w:r>
              <w:rPr>
                <w:bCs/>
                <w:sz w:val="20"/>
                <w:szCs w:val="20"/>
              </w:rPr>
              <w:t xml:space="preserve">May </w:t>
            </w:r>
            <w:r w:rsidRPr="00906047">
              <w:rPr>
                <w:bCs/>
                <w:sz w:val="20"/>
                <w:szCs w:val="20"/>
              </w:rPr>
              <w:t>2022.</w:t>
            </w:r>
          </w:p>
          <w:p w14:paraId="7F6A0309" w14:textId="77777777" w:rsidR="00AE0CB9" w:rsidRDefault="00AE0CB9" w:rsidP="00AE0CB9">
            <w:pPr>
              <w:jc w:val="both"/>
              <w:rPr>
                <w:bCs/>
                <w:sz w:val="20"/>
                <w:szCs w:val="20"/>
              </w:rPr>
            </w:pPr>
          </w:p>
          <w:p w14:paraId="1C15A2AC" w14:textId="77777777" w:rsidR="00AE0CB9" w:rsidRDefault="00AE0CB9" w:rsidP="00AE0CB9">
            <w:pPr>
              <w:jc w:val="both"/>
              <w:rPr>
                <w:bCs/>
                <w:sz w:val="20"/>
                <w:szCs w:val="20"/>
              </w:rPr>
            </w:pPr>
            <w:r w:rsidRPr="00906047">
              <w:rPr>
                <w:bCs/>
                <w:sz w:val="20"/>
                <w:szCs w:val="20"/>
              </w:rPr>
              <w:t>The general meeting of shareholders further decides to grant h</w:t>
            </w:r>
            <w:r>
              <w:rPr>
                <w:bCs/>
                <w:sz w:val="20"/>
                <w:szCs w:val="20"/>
              </w:rPr>
              <w:t>er</w:t>
            </w:r>
            <w:r w:rsidRPr="00906047">
              <w:rPr>
                <w:bCs/>
                <w:sz w:val="20"/>
                <w:szCs w:val="20"/>
              </w:rPr>
              <w:t xml:space="preserve"> full discharge for the exercise of h</w:t>
            </w:r>
            <w:r>
              <w:rPr>
                <w:bCs/>
                <w:sz w:val="20"/>
                <w:szCs w:val="20"/>
              </w:rPr>
              <w:t>er</w:t>
            </w:r>
            <w:r w:rsidRPr="00906047">
              <w:rPr>
                <w:bCs/>
                <w:sz w:val="20"/>
                <w:szCs w:val="20"/>
              </w:rPr>
              <w:t xml:space="preserve"> mandate.</w:t>
            </w:r>
          </w:p>
          <w:p w14:paraId="629DBA21" w14:textId="21037113" w:rsidR="00AE0CB9" w:rsidRPr="005E267A" w:rsidRDefault="00AE0CB9" w:rsidP="00AE0CB9">
            <w:pPr>
              <w:jc w:val="both"/>
              <w:rPr>
                <w:rFonts w:eastAsia="PMingLiU"/>
                <w:iCs/>
                <w:sz w:val="20"/>
                <w:szCs w:val="20"/>
                <w:lang w:eastAsia="zh-TW"/>
              </w:rPr>
            </w:pPr>
          </w:p>
        </w:tc>
        <w:tc>
          <w:tcPr>
            <w:tcW w:w="1134" w:type="dxa"/>
          </w:tcPr>
          <w:p w14:paraId="57FA6685" w14:textId="77777777" w:rsidR="00AE0CB9" w:rsidRPr="009D588B" w:rsidRDefault="00AE0CB9" w:rsidP="00AE0CB9">
            <w:pPr>
              <w:jc w:val="center"/>
              <w:rPr>
                <w:sz w:val="20"/>
                <w:szCs w:val="20"/>
              </w:rPr>
            </w:pPr>
          </w:p>
        </w:tc>
        <w:tc>
          <w:tcPr>
            <w:tcW w:w="1134" w:type="dxa"/>
          </w:tcPr>
          <w:p w14:paraId="3C3BD0B0" w14:textId="77777777" w:rsidR="00AE0CB9" w:rsidRPr="009D588B" w:rsidRDefault="00AE0CB9" w:rsidP="00AE0CB9">
            <w:pPr>
              <w:jc w:val="center"/>
              <w:rPr>
                <w:sz w:val="20"/>
                <w:szCs w:val="20"/>
              </w:rPr>
            </w:pPr>
          </w:p>
        </w:tc>
        <w:tc>
          <w:tcPr>
            <w:tcW w:w="1134" w:type="dxa"/>
          </w:tcPr>
          <w:p w14:paraId="5DC1B7A4" w14:textId="77777777" w:rsidR="00AE0CB9" w:rsidRPr="009D588B" w:rsidRDefault="00AE0CB9" w:rsidP="00AE0CB9">
            <w:pPr>
              <w:jc w:val="center"/>
              <w:rPr>
                <w:sz w:val="20"/>
                <w:szCs w:val="20"/>
              </w:rPr>
            </w:pPr>
          </w:p>
        </w:tc>
      </w:tr>
      <w:tr w:rsidR="00844BFA" w:rsidRPr="009D588B" w14:paraId="2C600584" w14:textId="77777777" w:rsidTr="005A58BC">
        <w:tc>
          <w:tcPr>
            <w:tcW w:w="454" w:type="dxa"/>
          </w:tcPr>
          <w:p w14:paraId="72A3497B" w14:textId="1380E17B" w:rsidR="00844BFA" w:rsidRPr="009D588B" w:rsidRDefault="00AE0CB9" w:rsidP="001606D8">
            <w:pPr>
              <w:rPr>
                <w:sz w:val="20"/>
                <w:szCs w:val="20"/>
                <w:lang w:val="en-GB"/>
              </w:rPr>
            </w:pPr>
            <w:r>
              <w:rPr>
                <w:sz w:val="20"/>
                <w:szCs w:val="20"/>
                <w:lang w:val="en-GB"/>
              </w:rPr>
              <w:t>4</w:t>
            </w:r>
          </w:p>
        </w:tc>
        <w:tc>
          <w:tcPr>
            <w:tcW w:w="6406" w:type="dxa"/>
          </w:tcPr>
          <w:p w14:paraId="0FFFE5E0" w14:textId="05601D5D" w:rsidR="00AE0CB9" w:rsidRDefault="00AE0CB9" w:rsidP="00AE0CB9">
            <w:pPr>
              <w:jc w:val="both"/>
              <w:rPr>
                <w:bCs/>
                <w:sz w:val="20"/>
                <w:szCs w:val="20"/>
              </w:rPr>
            </w:pPr>
            <w:r w:rsidRPr="00906047">
              <w:rPr>
                <w:bCs/>
                <w:sz w:val="20"/>
                <w:szCs w:val="20"/>
              </w:rPr>
              <w:t xml:space="preserve">The general meeting of shareholders resolves to ratify, the co-optation by the board of directors of the Company on </w:t>
            </w:r>
            <w:r>
              <w:rPr>
                <w:bCs/>
                <w:sz w:val="20"/>
                <w:szCs w:val="20"/>
              </w:rPr>
              <w:t>22</w:t>
            </w:r>
            <w:r w:rsidRPr="00906047">
              <w:rPr>
                <w:bCs/>
                <w:sz w:val="20"/>
                <w:szCs w:val="20"/>
              </w:rPr>
              <w:t xml:space="preserve"> </w:t>
            </w:r>
            <w:r>
              <w:rPr>
                <w:bCs/>
                <w:sz w:val="20"/>
                <w:szCs w:val="20"/>
              </w:rPr>
              <w:t>May</w:t>
            </w:r>
            <w:r w:rsidRPr="00906047">
              <w:rPr>
                <w:bCs/>
                <w:sz w:val="20"/>
                <w:szCs w:val="20"/>
              </w:rPr>
              <w:t xml:space="preserve"> 2022 of Mr</w:t>
            </w:r>
            <w:r>
              <w:rPr>
                <w:bCs/>
                <w:sz w:val="20"/>
                <w:szCs w:val="20"/>
              </w:rPr>
              <w:t>s</w:t>
            </w:r>
            <w:r w:rsidRPr="00906047">
              <w:rPr>
                <w:bCs/>
                <w:sz w:val="20"/>
                <w:szCs w:val="20"/>
              </w:rPr>
              <w:t xml:space="preserve">. </w:t>
            </w:r>
            <w:r>
              <w:rPr>
                <w:bCs/>
                <w:sz w:val="20"/>
                <w:szCs w:val="20"/>
              </w:rPr>
              <w:t>Daria Anna Danilczuk</w:t>
            </w:r>
            <w:r w:rsidRPr="00906047">
              <w:rPr>
                <w:bCs/>
                <w:sz w:val="20"/>
                <w:szCs w:val="20"/>
              </w:rPr>
              <w:t>, born on 1</w:t>
            </w:r>
            <w:r>
              <w:rPr>
                <w:bCs/>
                <w:sz w:val="20"/>
                <w:szCs w:val="20"/>
              </w:rPr>
              <w:t>3</w:t>
            </w:r>
            <w:r w:rsidRPr="00906047">
              <w:rPr>
                <w:bCs/>
                <w:sz w:val="20"/>
                <w:szCs w:val="20"/>
              </w:rPr>
              <w:t xml:space="preserve"> </w:t>
            </w:r>
            <w:r>
              <w:rPr>
                <w:bCs/>
                <w:sz w:val="20"/>
                <w:szCs w:val="20"/>
              </w:rPr>
              <w:t>June</w:t>
            </w:r>
            <w:r w:rsidRPr="00906047">
              <w:rPr>
                <w:bCs/>
                <w:sz w:val="20"/>
                <w:szCs w:val="20"/>
              </w:rPr>
              <w:t xml:space="preserve"> 19</w:t>
            </w:r>
            <w:r>
              <w:rPr>
                <w:bCs/>
                <w:sz w:val="20"/>
                <w:szCs w:val="20"/>
              </w:rPr>
              <w:t>8</w:t>
            </w:r>
            <w:r w:rsidRPr="00906047">
              <w:rPr>
                <w:bCs/>
                <w:sz w:val="20"/>
                <w:szCs w:val="20"/>
              </w:rPr>
              <w:t xml:space="preserve">7 in </w:t>
            </w:r>
            <w:r>
              <w:rPr>
                <w:bCs/>
                <w:sz w:val="20"/>
                <w:szCs w:val="20"/>
              </w:rPr>
              <w:t>Lublin, Poland</w:t>
            </w:r>
            <w:r w:rsidRPr="00906047">
              <w:rPr>
                <w:bCs/>
                <w:sz w:val="20"/>
                <w:szCs w:val="20"/>
              </w:rPr>
              <w:t xml:space="preserve">, and residing at </w:t>
            </w:r>
            <w:r w:rsidRPr="00760E07">
              <w:rPr>
                <w:bCs/>
                <w:sz w:val="20"/>
                <w:szCs w:val="20"/>
              </w:rPr>
              <w:t xml:space="preserve">rue de </w:t>
            </w:r>
            <w:proofErr w:type="spellStart"/>
            <w:r w:rsidRPr="00760E07">
              <w:rPr>
                <w:bCs/>
                <w:sz w:val="20"/>
                <w:szCs w:val="20"/>
              </w:rPr>
              <w:t>Miléant</w:t>
            </w:r>
            <w:proofErr w:type="spellEnd"/>
            <w:r w:rsidRPr="00760E07">
              <w:rPr>
                <w:bCs/>
                <w:sz w:val="20"/>
                <w:szCs w:val="20"/>
              </w:rPr>
              <w:t xml:space="preserve"> 5, 1203 Geneva, Switzerland</w:t>
            </w:r>
            <w:r w:rsidRPr="00906047">
              <w:rPr>
                <w:bCs/>
                <w:sz w:val="20"/>
                <w:szCs w:val="20"/>
              </w:rPr>
              <w:t xml:space="preserve"> as non-executive independent director of the Company in replacement of Mr</w:t>
            </w:r>
            <w:r>
              <w:rPr>
                <w:bCs/>
                <w:sz w:val="20"/>
                <w:szCs w:val="20"/>
              </w:rPr>
              <w:t>s</w:t>
            </w:r>
            <w:r w:rsidRPr="00906047">
              <w:rPr>
                <w:bCs/>
                <w:sz w:val="20"/>
                <w:szCs w:val="20"/>
              </w:rPr>
              <w:t xml:space="preserve">. </w:t>
            </w:r>
            <w:r>
              <w:rPr>
                <w:bCs/>
                <w:sz w:val="20"/>
                <w:szCs w:val="20"/>
              </w:rPr>
              <w:t>Nathalie Bachich</w:t>
            </w:r>
            <w:r w:rsidRPr="00906047">
              <w:rPr>
                <w:bCs/>
                <w:sz w:val="20"/>
                <w:szCs w:val="20"/>
              </w:rPr>
              <w:t>.</w:t>
            </w:r>
          </w:p>
          <w:p w14:paraId="53531BED" w14:textId="77777777" w:rsidR="00AE0CB9" w:rsidRPr="00906047" w:rsidRDefault="00AE0CB9" w:rsidP="00AE0CB9">
            <w:pPr>
              <w:jc w:val="both"/>
              <w:rPr>
                <w:bCs/>
                <w:sz w:val="20"/>
                <w:szCs w:val="20"/>
              </w:rPr>
            </w:pPr>
          </w:p>
          <w:p w14:paraId="16D69851" w14:textId="77777777" w:rsidR="00582149" w:rsidRDefault="00AE0CB9" w:rsidP="00AE0CB9">
            <w:pPr>
              <w:jc w:val="both"/>
              <w:rPr>
                <w:bCs/>
                <w:sz w:val="20"/>
                <w:szCs w:val="20"/>
              </w:rPr>
            </w:pPr>
            <w:r w:rsidRPr="00906047">
              <w:rPr>
                <w:bCs/>
                <w:sz w:val="20"/>
                <w:szCs w:val="20"/>
              </w:rPr>
              <w:t>The general meeting of shareholders further resolves to appoint Mr</w:t>
            </w:r>
            <w:r>
              <w:rPr>
                <w:bCs/>
                <w:sz w:val="20"/>
                <w:szCs w:val="20"/>
              </w:rPr>
              <w:t>s</w:t>
            </w:r>
            <w:r w:rsidRPr="00906047">
              <w:rPr>
                <w:bCs/>
                <w:sz w:val="20"/>
                <w:szCs w:val="20"/>
              </w:rPr>
              <w:t xml:space="preserve">. </w:t>
            </w:r>
            <w:r>
              <w:rPr>
                <w:bCs/>
                <w:sz w:val="20"/>
                <w:szCs w:val="20"/>
              </w:rPr>
              <w:t>Daria Anna Danilczuk</w:t>
            </w:r>
            <w:r w:rsidRPr="00906047">
              <w:rPr>
                <w:bCs/>
                <w:sz w:val="20"/>
                <w:szCs w:val="20"/>
              </w:rPr>
              <w:t xml:space="preserve"> as non-executive independent director of the Company until the next annual general meeting of shareholders of the Company to be held in 2022.</w:t>
            </w:r>
          </w:p>
          <w:p w14:paraId="7D46DE74" w14:textId="36633435" w:rsidR="00AE0CB9" w:rsidRPr="009D588B" w:rsidRDefault="00AE0CB9" w:rsidP="00AE0CB9">
            <w:pPr>
              <w:jc w:val="both"/>
              <w:rPr>
                <w:sz w:val="20"/>
                <w:szCs w:val="20"/>
                <w:highlight w:val="yellow"/>
              </w:rPr>
            </w:pP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67617B75" w14:textId="77777777" w:rsidTr="005A58BC">
        <w:trPr>
          <w:trHeight w:val="581"/>
        </w:trPr>
        <w:tc>
          <w:tcPr>
            <w:tcW w:w="454" w:type="dxa"/>
          </w:tcPr>
          <w:p w14:paraId="6E182199" w14:textId="6AF2FFF4" w:rsidR="00844BFA" w:rsidRPr="009D588B" w:rsidRDefault="00AE0CB9" w:rsidP="001606D8">
            <w:pPr>
              <w:rPr>
                <w:sz w:val="20"/>
                <w:szCs w:val="20"/>
                <w:lang w:val="en-GB"/>
              </w:rPr>
            </w:pPr>
            <w:r>
              <w:rPr>
                <w:sz w:val="20"/>
                <w:szCs w:val="20"/>
                <w:lang w:val="en-GB"/>
              </w:rPr>
              <w:t>5</w:t>
            </w:r>
          </w:p>
        </w:tc>
        <w:tc>
          <w:tcPr>
            <w:tcW w:w="6406" w:type="dxa"/>
          </w:tcPr>
          <w:p w14:paraId="1DFD5F83" w14:textId="1281004C" w:rsidR="005A58BC" w:rsidRDefault="00582149" w:rsidP="005A58BC">
            <w:pPr>
              <w:jc w:val="both"/>
              <w:rPr>
                <w:sz w:val="20"/>
                <w:szCs w:val="20"/>
              </w:rPr>
            </w:pPr>
            <w:r w:rsidRPr="00582149">
              <w:rPr>
                <w:sz w:val="20"/>
                <w:szCs w:val="20"/>
              </w:rPr>
              <w:t>The extraordinary general meeting of the shareholders of the Company resolves to amend article 1 of the Articles of Association which shall henceforth read as follows:</w:t>
            </w:r>
          </w:p>
          <w:p w14:paraId="1C45DF09" w14:textId="77777777" w:rsidR="005A58BC" w:rsidRDefault="005A58BC" w:rsidP="005A58BC">
            <w:pPr>
              <w:jc w:val="both"/>
              <w:rPr>
                <w:sz w:val="20"/>
                <w:szCs w:val="20"/>
              </w:rPr>
            </w:pPr>
          </w:p>
          <w:p w14:paraId="3F8A29D2" w14:textId="77777777" w:rsidR="005A58BC" w:rsidRPr="00526EC1" w:rsidRDefault="005A58BC" w:rsidP="005A58BC">
            <w:pPr>
              <w:jc w:val="both"/>
              <w:rPr>
                <w:b/>
                <w:i/>
                <w:sz w:val="20"/>
                <w:szCs w:val="20"/>
              </w:rPr>
            </w:pPr>
            <w:r w:rsidRPr="00526EC1">
              <w:rPr>
                <w:sz w:val="20"/>
                <w:szCs w:val="20"/>
              </w:rPr>
              <w:t>“</w:t>
            </w:r>
            <w:r w:rsidRPr="00526EC1">
              <w:rPr>
                <w:b/>
                <w:i/>
                <w:sz w:val="20"/>
                <w:szCs w:val="20"/>
              </w:rPr>
              <w:t>ARTICLE 1.</w:t>
            </w:r>
          </w:p>
          <w:p w14:paraId="24BADCF5" w14:textId="77777777" w:rsidR="00582149" w:rsidRPr="00582149" w:rsidRDefault="00582149" w:rsidP="00582149">
            <w:pPr>
              <w:jc w:val="both"/>
              <w:rPr>
                <w:bCs/>
                <w:i/>
                <w:sz w:val="20"/>
                <w:szCs w:val="20"/>
              </w:rPr>
            </w:pPr>
            <w:r w:rsidRPr="00582149">
              <w:rPr>
                <w:bCs/>
                <w:i/>
                <w:sz w:val="20"/>
                <w:szCs w:val="20"/>
              </w:rPr>
              <w:t>The registered office of the company is established in Luxembourg.</w:t>
            </w:r>
          </w:p>
          <w:p w14:paraId="2FBB5DD3" w14:textId="5F14DEF6" w:rsidR="00582149" w:rsidRDefault="00582149" w:rsidP="00582149">
            <w:pPr>
              <w:jc w:val="both"/>
              <w:rPr>
                <w:bCs/>
                <w:i/>
                <w:sz w:val="20"/>
                <w:szCs w:val="20"/>
              </w:rPr>
            </w:pPr>
            <w:r w:rsidRPr="00582149">
              <w:rPr>
                <w:bCs/>
                <w:i/>
                <w:sz w:val="20"/>
                <w:szCs w:val="20"/>
              </w:rPr>
              <w:t>It may be transferred to any other place in the Grand Duchy of Luxembourg by a decision of the board of directors.</w:t>
            </w:r>
          </w:p>
          <w:p w14:paraId="3EBA6154" w14:textId="77777777" w:rsidR="00582149" w:rsidRPr="00582149" w:rsidRDefault="00582149" w:rsidP="00582149">
            <w:pPr>
              <w:jc w:val="both"/>
              <w:rPr>
                <w:bCs/>
                <w:i/>
                <w:sz w:val="20"/>
                <w:szCs w:val="20"/>
              </w:rPr>
            </w:pPr>
          </w:p>
          <w:p w14:paraId="420B31AF" w14:textId="0F34A4D1" w:rsidR="00582149" w:rsidRDefault="00582149" w:rsidP="00582149">
            <w:pPr>
              <w:jc w:val="both"/>
              <w:rPr>
                <w:bCs/>
                <w:i/>
                <w:sz w:val="20"/>
                <w:szCs w:val="20"/>
              </w:rPr>
            </w:pPr>
            <w:r w:rsidRPr="00582149">
              <w:rPr>
                <w:bCs/>
                <w:i/>
                <w:sz w:val="20"/>
                <w:szCs w:val="20"/>
              </w:rPr>
              <w:t>If extraordinary political or economic events occur or are imminent, which might interfere with the normal activity at the registered office, or with easy communication between this office and abroad, the registered office may be declared to have been transferred abroad provisionally until the complete cessation of these abnormal circumstances.</w:t>
            </w:r>
          </w:p>
          <w:p w14:paraId="71A39C79" w14:textId="77777777" w:rsidR="00582149" w:rsidRPr="00582149" w:rsidRDefault="00582149" w:rsidP="00582149">
            <w:pPr>
              <w:jc w:val="both"/>
              <w:rPr>
                <w:bCs/>
                <w:i/>
                <w:sz w:val="20"/>
                <w:szCs w:val="20"/>
              </w:rPr>
            </w:pPr>
          </w:p>
          <w:p w14:paraId="427DCBBC" w14:textId="77777777" w:rsidR="00582149" w:rsidRPr="00582149" w:rsidRDefault="00582149" w:rsidP="00582149">
            <w:pPr>
              <w:jc w:val="both"/>
              <w:rPr>
                <w:bCs/>
                <w:i/>
                <w:sz w:val="20"/>
                <w:szCs w:val="20"/>
              </w:rPr>
            </w:pPr>
            <w:r w:rsidRPr="00582149">
              <w:rPr>
                <w:bCs/>
                <w:i/>
                <w:sz w:val="20"/>
                <w:szCs w:val="20"/>
              </w:rPr>
              <w:t>Such decision, however, shall have no effect on the nationality of the company.</w:t>
            </w:r>
          </w:p>
          <w:p w14:paraId="77A8FF55" w14:textId="77777777" w:rsidR="00582149" w:rsidRDefault="00582149" w:rsidP="00582149">
            <w:pPr>
              <w:jc w:val="both"/>
              <w:rPr>
                <w:bCs/>
                <w:i/>
                <w:sz w:val="20"/>
                <w:szCs w:val="20"/>
              </w:rPr>
            </w:pPr>
          </w:p>
          <w:p w14:paraId="3191C045" w14:textId="2CB6B0CA" w:rsidR="005A58BC" w:rsidRDefault="00582149" w:rsidP="00582149">
            <w:pPr>
              <w:jc w:val="both"/>
              <w:rPr>
                <w:sz w:val="20"/>
                <w:szCs w:val="20"/>
              </w:rPr>
            </w:pPr>
            <w:r w:rsidRPr="00582149">
              <w:rPr>
                <w:bCs/>
                <w:i/>
                <w:sz w:val="20"/>
                <w:szCs w:val="20"/>
              </w:rPr>
              <w:t>Such declaration of the transfer of the registered office shall be made and brought to the attention of third parties by the organ of the company, which is best situated for this purpose under such circumstances.</w:t>
            </w:r>
            <w:r w:rsidR="005A58BC" w:rsidRPr="00526EC1">
              <w:rPr>
                <w:sz w:val="20"/>
                <w:szCs w:val="20"/>
              </w:rPr>
              <w:t>”</w:t>
            </w:r>
          </w:p>
          <w:p w14:paraId="2ECDDCA0" w14:textId="1EF7A839" w:rsidR="00153951" w:rsidRPr="009D588B" w:rsidRDefault="00153951" w:rsidP="0023758C">
            <w:pPr>
              <w:jc w:val="both"/>
              <w:rPr>
                <w:sz w:val="20"/>
                <w:szCs w:val="20"/>
                <w:highlight w:val="yellow"/>
              </w:rPr>
            </w:pP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844BFA" w:rsidRPr="009D588B" w14:paraId="721C4511" w14:textId="77777777" w:rsidTr="005A58BC">
        <w:tc>
          <w:tcPr>
            <w:tcW w:w="454" w:type="dxa"/>
          </w:tcPr>
          <w:p w14:paraId="21CA3682" w14:textId="760C291D" w:rsidR="00844BFA" w:rsidRPr="009D588B" w:rsidRDefault="00AE0CB9" w:rsidP="001606D8">
            <w:pPr>
              <w:rPr>
                <w:sz w:val="20"/>
                <w:szCs w:val="20"/>
                <w:lang w:val="en-GB"/>
              </w:rPr>
            </w:pPr>
            <w:r>
              <w:rPr>
                <w:sz w:val="20"/>
                <w:szCs w:val="20"/>
                <w:lang w:val="en-GB"/>
              </w:rPr>
              <w:lastRenderedPageBreak/>
              <w:t>6</w:t>
            </w:r>
          </w:p>
        </w:tc>
        <w:tc>
          <w:tcPr>
            <w:tcW w:w="6406" w:type="dxa"/>
          </w:tcPr>
          <w:p w14:paraId="5E873397" w14:textId="281EBB87" w:rsidR="005A58BC" w:rsidRDefault="00582149" w:rsidP="005A58BC">
            <w:pPr>
              <w:jc w:val="both"/>
              <w:rPr>
                <w:sz w:val="20"/>
                <w:szCs w:val="20"/>
              </w:rPr>
            </w:pPr>
            <w:r w:rsidRPr="00582149">
              <w:rPr>
                <w:sz w:val="20"/>
                <w:szCs w:val="20"/>
              </w:rPr>
              <w:t>The extraordinary general meeting of the shareholders of the Company resolves to amend article 5 of the Articles of Association which shall henceforth read as follows:</w:t>
            </w:r>
          </w:p>
          <w:p w14:paraId="03D30884" w14:textId="77777777" w:rsidR="005A58BC" w:rsidRDefault="005A58BC" w:rsidP="005A58BC">
            <w:pPr>
              <w:jc w:val="both"/>
              <w:rPr>
                <w:sz w:val="20"/>
                <w:szCs w:val="20"/>
              </w:rPr>
            </w:pPr>
          </w:p>
          <w:p w14:paraId="51FA6F91" w14:textId="77777777" w:rsidR="005A58BC" w:rsidRPr="00526EC1" w:rsidRDefault="005A58BC" w:rsidP="005A58BC">
            <w:pPr>
              <w:jc w:val="both"/>
              <w:rPr>
                <w:i/>
                <w:sz w:val="20"/>
                <w:szCs w:val="20"/>
              </w:rPr>
            </w:pPr>
            <w:r w:rsidRPr="00526EC1">
              <w:rPr>
                <w:sz w:val="20"/>
                <w:szCs w:val="20"/>
              </w:rPr>
              <w:t>“</w:t>
            </w:r>
            <w:r w:rsidRPr="00526EC1">
              <w:rPr>
                <w:b/>
                <w:i/>
                <w:sz w:val="20"/>
                <w:szCs w:val="20"/>
              </w:rPr>
              <w:t>ARTICLE 5.</w:t>
            </w:r>
          </w:p>
          <w:p w14:paraId="3A2C19D4" w14:textId="77777777" w:rsidR="00582149" w:rsidRPr="00582149" w:rsidRDefault="00582149" w:rsidP="00582149">
            <w:pPr>
              <w:jc w:val="both"/>
              <w:rPr>
                <w:bCs/>
                <w:i/>
                <w:sz w:val="20"/>
                <w:szCs w:val="20"/>
              </w:rPr>
            </w:pPr>
            <w:r w:rsidRPr="00582149">
              <w:rPr>
                <w:bCs/>
                <w:i/>
                <w:sz w:val="20"/>
                <w:szCs w:val="20"/>
              </w:rPr>
              <w:t>The share capital of the company is set at two million two hundred eighteen thousand nine hundred twenty-eight US Dollars and sixty-four cents (USD 2,218,928.64) and is divided into eighty-four million thirty-one thousand two hundred and thirty (84,031,230) shares without indication of a nominal value.</w:t>
            </w:r>
          </w:p>
          <w:p w14:paraId="1E3F6B11" w14:textId="77777777" w:rsidR="00582149" w:rsidRDefault="00582149" w:rsidP="00582149">
            <w:pPr>
              <w:jc w:val="both"/>
              <w:rPr>
                <w:bCs/>
                <w:i/>
                <w:sz w:val="20"/>
                <w:szCs w:val="20"/>
              </w:rPr>
            </w:pPr>
            <w:r w:rsidRPr="00582149">
              <w:rPr>
                <w:bCs/>
                <w:i/>
                <w:sz w:val="20"/>
                <w:szCs w:val="20"/>
              </w:rPr>
              <w:t xml:space="preserve">     </w:t>
            </w:r>
          </w:p>
          <w:p w14:paraId="48E7BF18" w14:textId="62B03DCA" w:rsidR="00582149" w:rsidRPr="00582149" w:rsidRDefault="00582149" w:rsidP="00582149">
            <w:pPr>
              <w:jc w:val="both"/>
              <w:rPr>
                <w:bCs/>
                <w:i/>
                <w:sz w:val="20"/>
                <w:szCs w:val="20"/>
              </w:rPr>
            </w:pPr>
            <w:r w:rsidRPr="00582149">
              <w:rPr>
                <w:bCs/>
                <w:i/>
                <w:sz w:val="20"/>
                <w:szCs w:val="20"/>
              </w:rPr>
              <w:t>The shares of the company may be created at the owner’s option in certificates representing single shares or in certificates representing two or more shares.</w:t>
            </w:r>
          </w:p>
          <w:p w14:paraId="1B43ADCA" w14:textId="77777777" w:rsidR="00582149" w:rsidRDefault="00582149" w:rsidP="00582149">
            <w:pPr>
              <w:jc w:val="both"/>
              <w:rPr>
                <w:bCs/>
                <w:i/>
                <w:sz w:val="20"/>
                <w:szCs w:val="20"/>
              </w:rPr>
            </w:pPr>
            <w:r w:rsidRPr="00582149">
              <w:rPr>
                <w:bCs/>
                <w:i/>
                <w:sz w:val="20"/>
                <w:szCs w:val="20"/>
              </w:rPr>
              <w:t xml:space="preserve">     </w:t>
            </w:r>
          </w:p>
          <w:p w14:paraId="7D9AD6D4" w14:textId="01FB283F" w:rsidR="00582149" w:rsidRPr="00582149" w:rsidRDefault="00582149" w:rsidP="00582149">
            <w:pPr>
              <w:jc w:val="both"/>
              <w:rPr>
                <w:bCs/>
                <w:i/>
                <w:sz w:val="20"/>
                <w:szCs w:val="20"/>
              </w:rPr>
            </w:pPr>
            <w:r w:rsidRPr="00582149">
              <w:rPr>
                <w:bCs/>
                <w:i/>
                <w:sz w:val="20"/>
                <w:szCs w:val="20"/>
              </w:rPr>
              <w:t>The shares shall be in a bearer or in a registered form.</w:t>
            </w:r>
          </w:p>
          <w:p w14:paraId="4DD47DD2" w14:textId="77777777" w:rsidR="00582149" w:rsidRDefault="00582149" w:rsidP="00582149">
            <w:pPr>
              <w:jc w:val="both"/>
              <w:rPr>
                <w:bCs/>
                <w:i/>
                <w:sz w:val="20"/>
                <w:szCs w:val="20"/>
              </w:rPr>
            </w:pPr>
            <w:r w:rsidRPr="00582149">
              <w:rPr>
                <w:bCs/>
                <w:i/>
                <w:sz w:val="20"/>
                <w:szCs w:val="20"/>
              </w:rPr>
              <w:t xml:space="preserve">     </w:t>
            </w:r>
          </w:p>
          <w:p w14:paraId="38307E6C" w14:textId="0E6EDB01" w:rsidR="00582149" w:rsidRPr="00582149" w:rsidRDefault="00582149" w:rsidP="00582149">
            <w:pPr>
              <w:jc w:val="both"/>
              <w:rPr>
                <w:bCs/>
                <w:i/>
                <w:sz w:val="20"/>
                <w:szCs w:val="20"/>
              </w:rPr>
            </w:pPr>
            <w:r w:rsidRPr="00582149">
              <w:rPr>
                <w:bCs/>
                <w:i/>
                <w:sz w:val="20"/>
                <w:szCs w:val="20"/>
              </w:rPr>
              <w:t xml:space="preserve">The company may, to the extent and under the terms permitted by law, purchase its own shares. </w:t>
            </w:r>
          </w:p>
          <w:p w14:paraId="4B6E6A11" w14:textId="77777777" w:rsidR="00582149" w:rsidRDefault="00582149" w:rsidP="00582149">
            <w:pPr>
              <w:jc w:val="both"/>
              <w:rPr>
                <w:bCs/>
                <w:i/>
                <w:sz w:val="20"/>
                <w:szCs w:val="20"/>
              </w:rPr>
            </w:pPr>
            <w:r w:rsidRPr="00582149">
              <w:rPr>
                <w:bCs/>
                <w:i/>
                <w:sz w:val="20"/>
                <w:szCs w:val="20"/>
              </w:rPr>
              <w:t xml:space="preserve">     </w:t>
            </w:r>
          </w:p>
          <w:p w14:paraId="76A920AE" w14:textId="6BEBAD90" w:rsidR="005A58BC" w:rsidRDefault="00582149" w:rsidP="00582149">
            <w:pPr>
              <w:jc w:val="both"/>
              <w:rPr>
                <w:sz w:val="20"/>
                <w:szCs w:val="20"/>
              </w:rPr>
            </w:pPr>
            <w:r w:rsidRPr="00582149">
              <w:rPr>
                <w:bCs/>
                <w:i/>
                <w:sz w:val="20"/>
                <w:szCs w:val="20"/>
              </w:rPr>
              <w:t>The corporate capital may be increased or reduced in compliance with the legal requirements.</w:t>
            </w:r>
            <w:r w:rsidR="005A58BC" w:rsidRPr="00526EC1">
              <w:rPr>
                <w:sz w:val="20"/>
                <w:szCs w:val="20"/>
              </w:rPr>
              <w:t>”</w:t>
            </w:r>
          </w:p>
          <w:p w14:paraId="6599EE7E" w14:textId="4E16DF74" w:rsidR="00153951" w:rsidRPr="009D588B" w:rsidRDefault="00153951" w:rsidP="009D588B">
            <w:pPr>
              <w:jc w:val="both"/>
              <w:rPr>
                <w:sz w:val="20"/>
                <w:szCs w:val="20"/>
                <w:highlight w:val="yellow"/>
              </w:rPr>
            </w:pPr>
          </w:p>
        </w:tc>
        <w:tc>
          <w:tcPr>
            <w:tcW w:w="1134" w:type="dxa"/>
          </w:tcPr>
          <w:p w14:paraId="5D5F4CBC" w14:textId="77777777" w:rsidR="00844BFA" w:rsidRPr="009D588B" w:rsidRDefault="00844BFA" w:rsidP="001606D8">
            <w:pPr>
              <w:jc w:val="center"/>
              <w:rPr>
                <w:sz w:val="20"/>
                <w:szCs w:val="20"/>
              </w:rPr>
            </w:pPr>
          </w:p>
        </w:tc>
        <w:tc>
          <w:tcPr>
            <w:tcW w:w="1134" w:type="dxa"/>
          </w:tcPr>
          <w:p w14:paraId="2C0FB6E4" w14:textId="77777777" w:rsidR="00844BFA" w:rsidRPr="009D588B" w:rsidRDefault="00844BFA" w:rsidP="001606D8">
            <w:pPr>
              <w:jc w:val="center"/>
              <w:rPr>
                <w:sz w:val="20"/>
                <w:szCs w:val="20"/>
              </w:rPr>
            </w:pPr>
          </w:p>
        </w:tc>
        <w:tc>
          <w:tcPr>
            <w:tcW w:w="1134" w:type="dxa"/>
          </w:tcPr>
          <w:p w14:paraId="71E82690" w14:textId="77777777" w:rsidR="00844BFA" w:rsidRPr="009D588B" w:rsidRDefault="00844BFA" w:rsidP="001606D8">
            <w:pPr>
              <w:rPr>
                <w:sz w:val="20"/>
                <w:szCs w:val="20"/>
              </w:rPr>
            </w:pPr>
          </w:p>
        </w:tc>
      </w:tr>
      <w:tr w:rsidR="00582149" w:rsidRPr="009D588B" w14:paraId="665839C6" w14:textId="77777777" w:rsidTr="005A58BC">
        <w:tc>
          <w:tcPr>
            <w:tcW w:w="454" w:type="dxa"/>
          </w:tcPr>
          <w:p w14:paraId="72C39C31" w14:textId="43E172C9" w:rsidR="00582149" w:rsidRPr="009D588B" w:rsidRDefault="00AE0CB9" w:rsidP="001606D8">
            <w:pPr>
              <w:rPr>
                <w:sz w:val="20"/>
                <w:szCs w:val="20"/>
                <w:lang w:val="en-GB"/>
              </w:rPr>
            </w:pPr>
            <w:r>
              <w:rPr>
                <w:sz w:val="20"/>
                <w:szCs w:val="20"/>
                <w:lang w:val="en-GB"/>
              </w:rPr>
              <w:t>7</w:t>
            </w:r>
          </w:p>
        </w:tc>
        <w:tc>
          <w:tcPr>
            <w:tcW w:w="6406" w:type="dxa"/>
          </w:tcPr>
          <w:p w14:paraId="654CBC3F" w14:textId="77777777" w:rsidR="00582149" w:rsidRDefault="00582149" w:rsidP="005A58BC">
            <w:pPr>
              <w:jc w:val="both"/>
              <w:rPr>
                <w:sz w:val="20"/>
                <w:szCs w:val="20"/>
              </w:rPr>
            </w:pPr>
            <w:r w:rsidRPr="006B08AA">
              <w:rPr>
                <w:sz w:val="20"/>
                <w:szCs w:val="20"/>
              </w:rPr>
              <w:t xml:space="preserve">The extraordinary general meeting of the shareholders of the Company resolves </w:t>
            </w:r>
            <w:r w:rsidRPr="007D6EAB">
              <w:rPr>
                <w:sz w:val="20"/>
                <w:szCs w:val="20"/>
              </w:rPr>
              <w:t>to amend article 7 of</w:t>
            </w:r>
            <w:r w:rsidRPr="006B08AA">
              <w:rPr>
                <w:sz w:val="20"/>
                <w:szCs w:val="20"/>
              </w:rPr>
              <w:t xml:space="preserve"> the Articles of Association which shall henceforth read as follows:</w:t>
            </w:r>
          </w:p>
          <w:p w14:paraId="3AAA114C" w14:textId="77777777" w:rsidR="00582149" w:rsidRDefault="00582149" w:rsidP="005A58BC">
            <w:pPr>
              <w:jc w:val="both"/>
              <w:rPr>
                <w:sz w:val="20"/>
                <w:szCs w:val="20"/>
              </w:rPr>
            </w:pPr>
          </w:p>
          <w:p w14:paraId="43359E3D" w14:textId="0A24802E" w:rsidR="00582149" w:rsidRPr="00526EC1" w:rsidRDefault="00582149" w:rsidP="00582149">
            <w:pPr>
              <w:jc w:val="both"/>
              <w:rPr>
                <w:i/>
                <w:sz w:val="20"/>
                <w:szCs w:val="20"/>
              </w:rPr>
            </w:pPr>
            <w:r w:rsidRPr="00526EC1">
              <w:rPr>
                <w:sz w:val="20"/>
                <w:szCs w:val="20"/>
              </w:rPr>
              <w:t>“</w:t>
            </w:r>
            <w:r w:rsidRPr="00526EC1">
              <w:rPr>
                <w:b/>
                <w:i/>
                <w:sz w:val="20"/>
                <w:szCs w:val="20"/>
              </w:rPr>
              <w:t xml:space="preserve">ARTICLE </w:t>
            </w:r>
            <w:r w:rsidR="007D6EAB">
              <w:rPr>
                <w:b/>
                <w:i/>
                <w:sz w:val="20"/>
                <w:szCs w:val="20"/>
              </w:rPr>
              <w:t>7</w:t>
            </w:r>
            <w:r w:rsidRPr="00526EC1">
              <w:rPr>
                <w:b/>
                <w:i/>
                <w:sz w:val="20"/>
                <w:szCs w:val="20"/>
              </w:rPr>
              <w:t>.</w:t>
            </w:r>
          </w:p>
          <w:p w14:paraId="74676ED7" w14:textId="77777777" w:rsidR="00582149" w:rsidRPr="00582149" w:rsidRDefault="00582149" w:rsidP="00582149">
            <w:pPr>
              <w:jc w:val="both"/>
              <w:rPr>
                <w:bCs/>
                <w:i/>
                <w:iCs/>
                <w:sz w:val="20"/>
                <w:szCs w:val="20"/>
              </w:rPr>
            </w:pPr>
            <w:r w:rsidRPr="00582149">
              <w:rPr>
                <w:bCs/>
                <w:i/>
                <w:iCs/>
                <w:sz w:val="20"/>
                <w:szCs w:val="20"/>
              </w:rPr>
              <w:t>The company shall be managed by a board of directors composed of at least three (3) directors, who need not to be shareholders of the company. At least two (2) directors must be independent from the company, affiliates of the company and the shareholders holding at least five per cent (5%) of total votes in the company. The directors shall be appointed by the shareholders at a general meeting of shareholders, which shall determine their number, remuneration and term of their office. The term of the office of a director may not exceed six (6) years and the directors shall hold office until their successors are elected. The directors may be reelected for consecutive terms of office.</w:t>
            </w:r>
          </w:p>
          <w:p w14:paraId="05EE38EA" w14:textId="77777777" w:rsidR="007E27A4" w:rsidRDefault="007E27A4" w:rsidP="00582149">
            <w:pPr>
              <w:jc w:val="both"/>
              <w:rPr>
                <w:bCs/>
                <w:i/>
                <w:iCs/>
                <w:sz w:val="20"/>
                <w:szCs w:val="20"/>
              </w:rPr>
            </w:pPr>
          </w:p>
          <w:p w14:paraId="3F141B93" w14:textId="73184A7B" w:rsidR="00582149" w:rsidRPr="00582149" w:rsidRDefault="00582149" w:rsidP="00582149">
            <w:pPr>
              <w:jc w:val="both"/>
              <w:rPr>
                <w:bCs/>
                <w:i/>
                <w:iCs/>
                <w:sz w:val="20"/>
                <w:szCs w:val="20"/>
              </w:rPr>
            </w:pPr>
            <w:r w:rsidRPr="00582149">
              <w:rPr>
                <w:bCs/>
                <w:i/>
                <w:iCs/>
                <w:sz w:val="20"/>
                <w:szCs w:val="20"/>
              </w:rPr>
              <w:t>In case the company is incorporated by a sole shareholder, of if, at a general meeting of shareholders, it is noted that the company only has one shareholder, the composition of the board of directors may be limited to one sole director until the next annual general meeting at which it is noted that the company has (again) more than one shareholder.</w:t>
            </w:r>
          </w:p>
          <w:p w14:paraId="600528F6" w14:textId="77777777" w:rsidR="007E27A4" w:rsidRDefault="007E27A4" w:rsidP="00582149">
            <w:pPr>
              <w:jc w:val="both"/>
              <w:rPr>
                <w:bCs/>
                <w:i/>
                <w:iCs/>
                <w:sz w:val="20"/>
                <w:szCs w:val="20"/>
              </w:rPr>
            </w:pPr>
          </w:p>
          <w:p w14:paraId="0172BEC8" w14:textId="1F0A0F99" w:rsidR="00582149" w:rsidRPr="00582149" w:rsidRDefault="00582149" w:rsidP="00582149">
            <w:pPr>
              <w:jc w:val="both"/>
              <w:rPr>
                <w:bCs/>
                <w:i/>
                <w:iCs/>
                <w:sz w:val="20"/>
                <w:szCs w:val="20"/>
              </w:rPr>
            </w:pPr>
            <w:r w:rsidRPr="00582149">
              <w:rPr>
                <w:bCs/>
                <w:i/>
                <w:iCs/>
                <w:sz w:val="20"/>
                <w:szCs w:val="20"/>
              </w:rPr>
              <w:t>In this case, the sole director exercises the powers devolving on the board of directors.</w:t>
            </w:r>
          </w:p>
          <w:p w14:paraId="6A8EC725" w14:textId="77777777" w:rsidR="007E27A4" w:rsidRDefault="007E27A4" w:rsidP="00582149">
            <w:pPr>
              <w:jc w:val="both"/>
              <w:rPr>
                <w:bCs/>
                <w:i/>
                <w:iCs/>
                <w:sz w:val="20"/>
                <w:szCs w:val="20"/>
              </w:rPr>
            </w:pPr>
          </w:p>
          <w:p w14:paraId="2A0DB31C" w14:textId="4101510A" w:rsidR="00582149" w:rsidRPr="00582149" w:rsidRDefault="00582149" w:rsidP="00582149">
            <w:pPr>
              <w:jc w:val="both"/>
              <w:rPr>
                <w:bCs/>
                <w:i/>
                <w:iCs/>
                <w:sz w:val="20"/>
                <w:szCs w:val="20"/>
              </w:rPr>
            </w:pPr>
            <w:r w:rsidRPr="00582149">
              <w:rPr>
                <w:bCs/>
                <w:i/>
                <w:iCs/>
                <w:sz w:val="20"/>
                <w:szCs w:val="20"/>
              </w:rPr>
              <w:t>The directors are elected or removed by a majority vote of sixty percent (60%) of the shares present or represented at the general meeting of shareholders. Any director may be removed at any time with or without cause by the general meeting of shareholders.</w:t>
            </w:r>
          </w:p>
          <w:p w14:paraId="3A366FE5" w14:textId="77777777" w:rsidR="007E27A4" w:rsidRDefault="007E27A4" w:rsidP="00582149">
            <w:pPr>
              <w:jc w:val="both"/>
              <w:rPr>
                <w:bCs/>
                <w:i/>
                <w:iCs/>
                <w:sz w:val="20"/>
                <w:szCs w:val="20"/>
              </w:rPr>
            </w:pPr>
          </w:p>
          <w:p w14:paraId="554BF6D1" w14:textId="556F75CA" w:rsidR="00582149" w:rsidRDefault="00582149" w:rsidP="007E27A4">
            <w:pPr>
              <w:jc w:val="both"/>
              <w:rPr>
                <w:sz w:val="20"/>
                <w:szCs w:val="20"/>
              </w:rPr>
            </w:pPr>
            <w:r w:rsidRPr="00582149">
              <w:rPr>
                <w:bCs/>
                <w:i/>
                <w:iCs/>
                <w:sz w:val="20"/>
                <w:szCs w:val="20"/>
              </w:rPr>
              <w:t>In the event of a vacancy in the office of a director because of death, retirement or otherwise, this vacancy may be filled out on a temporary basis until the next general meeting of shareholders, in compliance with the applicable legal provisions.</w:t>
            </w:r>
            <w:r w:rsidRPr="00526EC1">
              <w:rPr>
                <w:sz w:val="20"/>
                <w:szCs w:val="20"/>
              </w:rPr>
              <w:t>”</w:t>
            </w:r>
          </w:p>
        </w:tc>
        <w:tc>
          <w:tcPr>
            <w:tcW w:w="1134" w:type="dxa"/>
          </w:tcPr>
          <w:p w14:paraId="5E4882DF" w14:textId="77777777" w:rsidR="00582149" w:rsidRPr="009D588B" w:rsidRDefault="00582149" w:rsidP="001606D8">
            <w:pPr>
              <w:jc w:val="center"/>
              <w:rPr>
                <w:sz w:val="20"/>
                <w:szCs w:val="20"/>
              </w:rPr>
            </w:pPr>
          </w:p>
        </w:tc>
        <w:tc>
          <w:tcPr>
            <w:tcW w:w="1134" w:type="dxa"/>
          </w:tcPr>
          <w:p w14:paraId="1ED181C6" w14:textId="77777777" w:rsidR="00582149" w:rsidRPr="009D588B" w:rsidRDefault="00582149" w:rsidP="001606D8">
            <w:pPr>
              <w:jc w:val="center"/>
              <w:rPr>
                <w:sz w:val="20"/>
                <w:szCs w:val="20"/>
              </w:rPr>
            </w:pPr>
          </w:p>
        </w:tc>
        <w:tc>
          <w:tcPr>
            <w:tcW w:w="1134" w:type="dxa"/>
          </w:tcPr>
          <w:p w14:paraId="666C5DD2" w14:textId="77777777" w:rsidR="00582149" w:rsidRPr="009D588B" w:rsidRDefault="00582149" w:rsidP="001606D8">
            <w:pPr>
              <w:rPr>
                <w:sz w:val="20"/>
                <w:szCs w:val="20"/>
              </w:rPr>
            </w:pPr>
          </w:p>
        </w:tc>
      </w:tr>
      <w:tr w:rsidR="00844BFA" w:rsidRPr="009D588B" w14:paraId="63CD278F" w14:textId="77777777" w:rsidTr="005A58BC">
        <w:tc>
          <w:tcPr>
            <w:tcW w:w="454" w:type="dxa"/>
          </w:tcPr>
          <w:p w14:paraId="4192869A" w14:textId="245F13C3" w:rsidR="00844BFA" w:rsidRPr="009D588B" w:rsidRDefault="00AE0CB9" w:rsidP="001606D8">
            <w:pPr>
              <w:rPr>
                <w:sz w:val="20"/>
                <w:szCs w:val="20"/>
                <w:lang w:val="en-GB"/>
              </w:rPr>
            </w:pPr>
            <w:r>
              <w:rPr>
                <w:sz w:val="20"/>
                <w:szCs w:val="20"/>
                <w:lang w:val="en-GB"/>
              </w:rPr>
              <w:t>8</w:t>
            </w:r>
          </w:p>
        </w:tc>
        <w:tc>
          <w:tcPr>
            <w:tcW w:w="6406" w:type="dxa"/>
          </w:tcPr>
          <w:p w14:paraId="5384C790" w14:textId="2D38D531" w:rsidR="005A58BC" w:rsidRDefault="007E27A4" w:rsidP="005A58BC">
            <w:pPr>
              <w:jc w:val="both"/>
              <w:rPr>
                <w:sz w:val="20"/>
                <w:szCs w:val="20"/>
              </w:rPr>
            </w:pPr>
            <w:r w:rsidRPr="007E27A4">
              <w:rPr>
                <w:sz w:val="20"/>
                <w:szCs w:val="20"/>
              </w:rPr>
              <w:t>The extraordinary general meeting of the shareholders of the Company resolves to amend article 10 of the Articles of Association which shall henceforth read as follows:</w:t>
            </w:r>
          </w:p>
          <w:p w14:paraId="27E8CD4F" w14:textId="77777777" w:rsidR="005A58BC" w:rsidRDefault="005A58BC" w:rsidP="005A58BC">
            <w:pPr>
              <w:jc w:val="both"/>
              <w:rPr>
                <w:sz w:val="20"/>
                <w:szCs w:val="20"/>
              </w:rPr>
            </w:pPr>
          </w:p>
          <w:p w14:paraId="29191C0E" w14:textId="77777777" w:rsidR="005A58BC" w:rsidRPr="00336221" w:rsidRDefault="005A58BC" w:rsidP="005A58BC">
            <w:pPr>
              <w:jc w:val="both"/>
              <w:rPr>
                <w:b/>
                <w:i/>
                <w:sz w:val="20"/>
                <w:szCs w:val="20"/>
              </w:rPr>
            </w:pPr>
            <w:r w:rsidRPr="00336221">
              <w:rPr>
                <w:sz w:val="20"/>
                <w:szCs w:val="20"/>
              </w:rPr>
              <w:t>“</w:t>
            </w:r>
            <w:r w:rsidRPr="00336221">
              <w:rPr>
                <w:b/>
                <w:i/>
                <w:sz w:val="20"/>
                <w:szCs w:val="20"/>
              </w:rPr>
              <w:t>ARTICLE 10.</w:t>
            </w:r>
          </w:p>
          <w:p w14:paraId="4355FC15" w14:textId="115477F5" w:rsidR="005A58BC" w:rsidRDefault="007E27A4" w:rsidP="005A58BC">
            <w:pPr>
              <w:jc w:val="both"/>
              <w:rPr>
                <w:sz w:val="20"/>
                <w:szCs w:val="20"/>
              </w:rPr>
            </w:pPr>
            <w:r w:rsidRPr="007028A8">
              <w:rPr>
                <w:i/>
                <w:iCs/>
                <w:sz w:val="20"/>
                <w:szCs w:val="20"/>
              </w:rPr>
              <w:lastRenderedPageBreak/>
              <w:t>The company will be bound in any circumstances by joint signatures of two directors or by the sole signature of a managing director, without prejudice of special decisions that have been reached concerning the authorized signature in case of delegation of powers or proxies given by the board of directors pursuant to article 11 of the present articles of association.</w:t>
            </w:r>
            <w:r w:rsidR="005A58BC" w:rsidRPr="00336221">
              <w:rPr>
                <w:sz w:val="20"/>
                <w:szCs w:val="20"/>
              </w:rPr>
              <w:t>”</w:t>
            </w:r>
          </w:p>
          <w:p w14:paraId="2D428B4D" w14:textId="6985F7EA" w:rsidR="00844BFA" w:rsidRPr="009D588B" w:rsidRDefault="00844BFA" w:rsidP="00153951">
            <w:pPr>
              <w:jc w:val="both"/>
              <w:rPr>
                <w:sz w:val="20"/>
                <w:szCs w:val="20"/>
              </w:rPr>
            </w:pPr>
          </w:p>
        </w:tc>
        <w:tc>
          <w:tcPr>
            <w:tcW w:w="1134" w:type="dxa"/>
          </w:tcPr>
          <w:p w14:paraId="6CE6DC24" w14:textId="77777777" w:rsidR="00844BFA" w:rsidRPr="009D588B" w:rsidRDefault="00844BFA" w:rsidP="001606D8">
            <w:pPr>
              <w:jc w:val="center"/>
              <w:rPr>
                <w:sz w:val="20"/>
                <w:szCs w:val="20"/>
              </w:rPr>
            </w:pPr>
          </w:p>
        </w:tc>
        <w:tc>
          <w:tcPr>
            <w:tcW w:w="1134" w:type="dxa"/>
          </w:tcPr>
          <w:p w14:paraId="6F9842BE" w14:textId="77777777" w:rsidR="00844BFA" w:rsidRPr="009D588B" w:rsidRDefault="00844BFA" w:rsidP="001606D8">
            <w:pPr>
              <w:jc w:val="center"/>
              <w:rPr>
                <w:sz w:val="20"/>
                <w:szCs w:val="20"/>
              </w:rPr>
            </w:pPr>
          </w:p>
        </w:tc>
        <w:tc>
          <w:tcPr>
            <w:tcW w:w="1134" w:type="dxa"/>
          </w:tcPr>
          <w:p w14:paraId="3F4561FE" w14:textId="77777777" w:rsidR="00844BFA" w:rsidRPr="009D588B" w:rsidRDefault="00844BFA" w:rsidP="001606D8">
            <w:pPr>
              <w:rPr>
                <w:sz w:val="20"/>
                <w:szCs w:val="20"/>
              </w:rPr>
            </w:pPr>
          </w:p>
        </w:tc>
      </w:tr>
      <w:tr w:rsidR="00844BFA" w:rsidRPr="009D588B" w14:paraId="47BDBEEF" w14:textId="77777777" w:rsidTr="005A58BC">
        <w:tc>
          <w:tcPr>
            <w:tcW w:w="454" w:type="dxa"/>
          </w:tcPr>
          <w:p w14:paraId="5073946E" w14:textId="216CE08E" w:rsidR="00844BFA" w:rsidRPr="009D588B" w:rsidRDefault="00AE0CB9" w:rsidP="001606D8">
            <w:pPr>
              <w:rPr>
                <w:sz w:val="20"/>
                <w:szCs w:val="20"/>
                <w:lang w:val="en-GB"/>
              </w:rPr>
            </w:pPr>
            <w:r>
              <w:rPr>
                <w:sz w:val="20"/>
                <w:szCs w:val="20"/>
                <w:lang w:val="en-GB"/>
              </w:rPr>
              <w:t>9</w:t>
            </w:r>
          </w:p>
        </w:tc>
        <w:tc>
          <w:tcPr>
            <w:tcW w:w="6406" w:type="dxa"/>
          </w:tcPr>
          <w:p w14:paraId="4DC44530" w14:textId="2D707620" w:rsidR="005A58BC" w:rsidRPr="007E27A4" w:rsidRDefault="007E27A4" w:rsidP="005A58BC">
            <w:pPr>
              <w:jc w:val="both"/>
              <w:rPr>
                <w:sz w:val="20"/>
                <w:szCs w:val="20"/>
              </w:rPr>
            </w:pPr>
            <w:r w:rsidRPr="007E27A4">
              <w:rPr>
                <w:sz w:val="20"/>
                <w:szCs w:val="20"/>
              </w:rPr>
              <w:t>The extraordinary general meeting of the shareholders of the Company resolves to amend article 11 of the Articles of Association which shall henceforth read as follows:</w:t>
            </w:r>
          </w:p>
          <w:p w14:paraId="7D9F1E12" w14:textId="77777777" w:rsidR="005A58BC" w:rsidRDefault="005A58BC" w:rsidP="005A58BC">
            <w:pPr>
              <w:jc w:val="both"/>
              <w:rPr>
                <w:sz w:val="20"/>
                <w:szCs w:val="20"/>
              </w:rPr>
            </w:pPr>
          </w:p>
          <w:p w14:paraId="5C519E5C" w14:textId="77777777" w:rsidR="005A58BC" w:rsidRPr="00336221" w:rsidRDefault="005A58BC" w:rsidP="005A58BC">
            <w:pPr>
              <w:jc w:val="both"/>
              <w:rPr>
                <w:i/>
                <w:sz w:val="20"/>
                <w:szCs w:val="20"/>
              </w:rPr>
            </w:pPr>
            <w:r w:rsidRPr="00336221">
              <w:rPr>
                <w:sz w:val="20"/>
                <w:szCs w:val="20"/>
              </w:rPr>
              <w:t>“</w:t>
            </w:r>
            <w:r w:rsidRPr="00336221">
              <w:rPr>
                <w:b/>
                <w:i/>
                <w:sz w:val="20"/>
                <w:szCs w:val="20"/>
              </w:rPr>
              <w:t>ARTICLE 11.</w:t>
            </w:r>
          </w:p>
          <w:p w14:paraId="28FE71F4" w14:textId="77777777" w:rsidR="007E27A4" w:rsidRPr="007E27A4" w:rsidRDefault="007E27A4" w:rsidP="007E27A4">
            <w:pPr>
              <w:jc w:val="both"/>
              <w:rPr>
                <w:bCs/>
                <w:i/>
                <w:sz w:val="20"/>
                <w:szCs w:val="20"/>
              </w:rPr>
            </w:pPr>
            <w:r w:rsidRPr="007E27A4">
              <w:rPr>
                <w:bCs/>
                <w:i/>
                <w:sz w:val="20"/>
                <w:szCs w:val="20"/>
              </w:rPr>
              <w:t>The board of directors may generally or from time to time delegate the power to conduct the daily management of the company as well as the representation of the company in relation to such management as provided for by article 441-10 of the law of 10 August 1915 on commercial companies and the amendment hereto, to an executive or other committee or committees whether formed from among its own members or not, or to one or more directors, managers or other agents who may act individually or jointly. The delegation to a member of the board of directors imposes to the board of directors an obligation to report annually to the ordinary general annual meeting the remunerations, fees and any advantages granted to the delegated person. The board of directors shall determine the scope of the powers, the conditions for withdrawal and the remuneration attached to these delegations of authority including the authority to sub-delegate.</w:t>
            </w:r>
          </w:p>
          <w:p w14:paraId="4A29E4D6" w14:textId="77777777" w:rsidR="007E27A4" w:rsidRDefault="007E27A4" w:rsidP="007E27A4">
            <w:pPr>
              <w:jc w:val="both"/>
              <w:rPr>
                <w:bCs/>
                <w:i/>
                <w:sz w:val="20"/>
                <w:szCs w:val="20"/>
              </w:rPr>
            </w:pPr>
          </w:p>
          <w:p w14:paraId="446672FC" w14:textId="3CCAC665" w:rsidR="007E27A4" w:rsidRPr="007E27A4" w:rsidRDefault="007E27A4" w:rsidP="007E27A4">
            <w:pPr>
              <w:jc w:val="both"/>
              <w:rPr>
                <w:bCs/>
                <w:i/>
                <w:sz w:val="20"/>
                <w:szCs w:val="20"/>
              </w:rPr>
            </w:pPr>
            <w:r w:rsidRPr="007E27A4">
              <w:rPr>
                <w:bCs/>
                <w:i/>
                <w:sz w:val="20"/>
                <w:szCs w:val="20"/>
              </w:rPr>
              <w:t>The board of directors may establish one or several comities composed of members of the board and / or external persons to whom it may delegate powers and functions from time to time. If an audit committee is established, at least one independent director with finance and accounting expertise should be a member of that committee.</w:t>
            </w:r>
          </w:p>
          <w:p w14:paraId="6974A9F6" w14:textId="77777777" w:rsidR="007E27A4" w:rsidRDefault="007E27A4" w:rsidP="007E27A4">
            <w:pPr>
              <w:jc w:val="both"/>
              <w:rPr>
                <w:bCs/>
                <w:i/>
                <w:sz w:val="20"/>
                <w:szCs w:val="20"/>
              </w:rPr>
            </w:pPr>
          </w:p>
          <w:p w14:paraId="039BFA4E" w14:textId="443CBEE8" w:rsidR="005A58BC" w:rsidRDefault="007E27A4" w:rsidP="007E27A4">
            <w:pPr>
              <w:jc w:val="both"/>
              <w:rPr>
                <w:sz w:val="20"/>
                <w:szCs w:val="20"/>
              </w:rPr>
            </w:pPr>
            <w:r w:rsidRPr="007E27A4">
              <w:rPr>
                <w:bCs/>
                <w:i/>
                <w:sz w:val="20"/>
                <w:szCs w:val="20"/>
              </w:rPr>
              <w:t>The board of directors may also confer special powers upon one or more attorneys or agents of its choice.</w:t>
            </w:r>
            <w:r w:rsidR="005A58BC" w:rsidRPr="00336221">
              <w:rPr>
                <w:sz w:val="20"/>
                <w:szCs w:val="20"/>
              </w:rPr>
              <w:t>”</w:t>
            </w:r>
          </w:p>
          <w:p w14:paraId="7D1226FC" w14:textId="5A38BD55" w:rsidR="00844BFA" w:rsidRPr="009D588B" w:rsidRDefault="00844BFA" w:rsidP="00153951">
            <w:pPr>
              <w:jc w:val="both"/>
              <w:rPr>
                <w:sz w:val="20"/>
                <w:szCs w:val="20"/>
              </w:rPr>
            </w:pPr>
          </w:p>
        </w:tc>
        <w:tc>
          <w:tcPr>
            <w:tcW w:w="1134" w:type="dxa"/>
          </w:tcPr>
          <w:p w14:paraId="3C6E8862" w14:textId="77777777" w:rsidR="00844BFA" w:rsidRPr="009D588B" w:rsidRDefault="00844BFA" w:rsidP="001606D8">
            <w:pPr>
              <w:jc w:val="center"/>
              <w:rPr>
                <w:sz w:val="20"/>
                <w:szCs w:val="20"/>
              </w:rPr>
            </w:pPr>
          </w:p>
        </w:tc>
        <w:tc>
          <w:tcPr>
            <w:tcW w:w="1134" w:type="dxa"/>
          </w:tcPr>
          <w:p w14:paraId="7772F4BC" w14:textId="77777777" w:rsidR="00844BFA" w:rsidRPr="009D588B" w:rsidRDefault="00844BFA" w:rsidP="001606D8">
            <w:pPr>
              <w:jc w:val="center"/>
              <w:rPr>
                <w:sz w:val="20"/>
                <w:szCs w:val="20"/>
              </w:rPr>
            </w:pPr>
          </w:p>
        </w:tc>
        <w:tc>
          <w:tcPr>
            <w:tcW w:w="1134" w:type="dxa"/>
          </w:tcPr>
          <w:p w14:paraId="1023C809" w14:textId="77777777" w:rsidR="00844BFA" w:rsidRPr="009D588B" w:rsidRDefault="00844BFA" w:rsidP="001606D8">
            <w:pPr>
              <w:rPr>
                <w:sz w:val="20"/>
                <w:szCs w:val="20"/>
              </w:rPr>
            </w:pPr>
          </w:p>
        </w:tc>
      </w:tr>
    </w:tbl>
    <w:p w14:paraId="5552C378" w14:textId="5E7C2432" w:rsidR="00441B8D" w:rsidRPr="009D588B" w:rsidRDefault="00441B8D"/>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8"/>
      </w:tblGrid>
      <w:tr w:rsidR="00F76A8B" w:rsidRPr="009D588B" w14:paraId="1E1ACF9E" w14:textId="77777777" w:rsidTr="005A58BC">
        <w:trPr>
          <w:tblHeader/>
        </w:trPr>
        <w:tc>
          <w:tcPr>
            <w:tcW w:w="454" w:type="dxa"/>
          </w:tcPr>
          <w:p w14:paraId="6321BAF8" w14:textId="77777777" w:rsidR="00F76A8B" w:rsidRPr="009D588B" w:rsidRDefault="00F76A8B" w:rsidP="00A643CC">
            <w:pPr>
              <w:rPr>
                <w:b/>
                <w:sz w:val="20"/>
                <w:szCs w:val="20"/>
                <w:lang w:val="en-GB"/>
              </w:rPr>
            </w:pPr>
          </w:p>
        </w:tc>
        <w:tc>
          <w:tcPr>
            <w:tcW w:w="6406" w:type="dxa"/>
          </w:tcPr>
          <w:p w14:paraId="200E96E9" w14:textId="77777777" w:rsidR="00F76A8B" w:rsidRPr="009D588B" w:rsidRDefault="00F76A8B" w:rsidP="00A643CC">
            <w:pPr>
              <w:rPr>
                <w:b/>
                <w:sz w:val="20"/>
                <w:szCs w:val="20"/>
                <w:highlight w:val="yellow"/>
                <w:lang w:val="en-GB"/>
              </w:rPr>
            </w:pPr>
          </w:p>
        </w:tc>
        <w:tc>
          <w:tcPr>
            <w:tcW w:w="1134" w:type="dxa"/>
          </w:tcPr>
          <w:p w14:paraId="6AC021D0" w14:textId="77777777" w:rsidR="00F76A8B" w:rsidRPr="009D588B" w:rsidRDefault="00F76A8B" w:rsidP="00A643CC">
            <w:pPr>
              <w:jc w:val="center"/>
              <w:rPr>
                <w:b/>
                <w:sz w:val="20"/>
                <w:szCs w:val="20"/>
              </w:rPr>
            </w:pPr>
            <w:r w:rsidRPr="009D588B">
              <w:rPr>
                <w:b/>
                <w:sz w:val="20"/>
                <w:szCs w:val="20"/>
              </w:rPr>
              <w:t>For</w:t>
            </w:r>
          </w:p>
        </w:tc>
        <w:tc>
          <w:tcPr>
            <w:tcW w:w="1134" w:type="dxa"/>
          </w:tcPr>
          <w:p w14:paraId="67DE191A" w14:textId="77777777" w:rsidR="00F76A8B" w:rsidRPr="009D588B" w:rsidRDefault="00F76A8B" w:rsidP="00A643CC">
            <w:pPr>
              <w:jc w:val="center"/>
              <w:rPr>
                <w:b/>
                <w:sz w:val="20"/>
                <w:szCs w:val="20"/>
              </w:rPr>
            </w:pPr>
            <w:r w:rsidRPr="009D588B">
              <w:rPr>
                <w:b/>
                <w:sz w:val="20"/>
                <w:szCs w:val="20"/>
              </w:rPr>
              <w:t>Against</w:t>
            </w:r>
          </w:p>
        </w:tc>
        <w:tc>
          <w:tcPr>
            <w:tcW w:w="1138" w:type="dxa"/>
          </w:tcPr>
          <w:p w14:paraId="4E75F3E7" w14:textId="77777777" w:rsidR="00F76A8B" w:rsidRPr="009D588B" w:rsidRDefault="00F76A8B" w:rsidP="00A643CC">
            <w:pPr>
              <w:jc w:val="center"/>
              <w:rPr>
                <w:b/>
                <w:sz w:val="20"/>
                <w:szCs w:val="20"/>
              </w:rPr>
            </w:pPr>
            <w:r w:rsidRPr="009D588B">
              <w:rPr>
                <w:b/>
                <w:sz w:val="20"/>
                <w:szCs w:val="20"/>
              </w:rPr>
              <w:t>Abstention</w:t>
            </w:r>
          </w:p>
        </w:tc>
      </w:tr>
      <w:tr w:rsidR="007360CB" w:rsidRPr="009D588B" w14:paraId="65A4C5FB" w14:textId="77777777" w:rsidTr="005A58BC">
        <w:tc>
          <w:tcPr>
            <w:tcW w:w="454" w:type="dxa"/>
          </w:tcPr>
          <w:p w14:paraId="33BC0950" w14:textId="50550650" w:rsidR="007360CB" w:rsidRPr="007E27A4" w:rsidRDefault="00AE0CB9" w:rsidP="001606D8">
            <w:pPr>
              <w:rPr>
                <w:sz w:val="20"/>
                <w:szCs w:val="20"/>
              </w:rPr>
            </w:pPr>
            <w:r>
              <w:rPr>
                <w:sz w:val="20"/>
                <w:szCs w:val="20"/>
              </w:rPr>
              <w:t>10</w:t>
            </w:r>
          </w:p>
        </w:tc>
        <w:tc>
          <w:tcPr>
            <w:tcW w:w="6406" w:type="dxa"/>
          </w:tcPr>
          <w:p w14:paraId="4FBE165B" w14:textId="646DE4F3" w:rsidR="007360CB" w:rsidRDefault="007E27A4" w:rsidP="005A58BC">
            <w:pPr>
              <w:jc w:val="both"/>
              <w:rPr>
                <w:sz w:val="20"/>
                <w:szCs w:val="20"/>
              </w:rPr>
            </w:pPr>
            <w:bookmarkStart w:id="4" w:name="_Hlk74647015"/>
            <w:r w:rsidRPr="007028A8">
              <w:rPr>
                <w:sz w:val="20"/>
                <w:szCs w:val="20"/>
              </w:rPr>
              <w:t>The general meeting of the shareholders resolves to appoint any director of the Company, (the “</w:t>
            </w:r>
            <w:r w:rsidRPr="007028A8">
              <w:rPr>
                <w:b/>
                <w:sz w:val="20"/>
                <w:szCs w:val="20"/>
              </w:rPr>
              <w:t>Director(s)</w:t>
            </w:r>
            <w:r w:rsidRPr="007028A8">
              <w:rPr>
                <w:sz w:val="20"/>
                <w:szCs w:val="20"/>
              </w:rPr>
              <w:t>”) each acting individually, with power of substitution to take all actions and do such things on behalf and in the name of the Company that are necessary or desirable for the Company to take or to do in order for the above resolutions to be implemented, to agree or amend the form, terms and conditions of, to certify any and all documents as certified true copies and to make, sign, execute and do, all such deeds, instruments, agreements, applications, forms, declarations, confirmations, notices, acknowledgements, letters, certificates, powers-of-attorney, general assignments, and any other documents (including any notarial deeds) relating to and required or desirable under the above resolutions, and in particular all the agreements and/or documents the entering of which is approved in the present resolutions.</w:t>
            </w:r>
            <w:bookmarkEnd w:id="4"/>
          </w:p>
        </w:tc>
        <w:tc>
          <w:tcPr>
            <w:tcW w:w="1134" w:type="dxa"/>
          </w:tcPr>
          <w:p w14:paraId="4A6C8829" w14:textId="77777777" w:rsidR="007360CB" w:rsidRPr="009D588B" w:rsidRDefault="007360CB" w:rsidP="001606D8">
            <w:pPr>
              <w:jc w:val="center"/>
              <w:rPr>
                <w:sz w:val="20"/>
                <w:szCs w:val="20"/>
              </w:rPr>
            </w:pPr>
          </w:p>
        </w:tc>
        <w:tc>
          <w:tcPr>
            <w:tcW w:w="1134" w:type="dxa"/>
          </w:tcPr>
          <w:p w14:paraId="40B06456" w14:textId="77777777" w:rsidR="007360CB" w:rsidRPr="009D588B" w:rsidRDefault="007360CB" w:rsidP="001606D8">
            <w:pPr>
              <w:jc w:val="center"/>
              <w:rPr>
                <w:sz w:val="20"/>
                <w:szCs w:val="20"/>
              </w:rPr>
            </w:pPr>
          </w:p>
        </w:tc>
        <w:tc>
          <w:tcPr>
            <w:tcW w:w="1138" w:type="dxa"/>
          </w:tcPr>
          <w:p w14:paraId="4A06101B" w14:textId="77777777" w:rsidR="007360CB" w:rsidRPr="009D588B" w:rsidRDefault="007360CB" w:rsidP="001606D8">
            <w:pPr>
              <w:rPr>
                <w:sz w:val="20"/>
                <w:szCs w:val="20"/>
              </w:rPr>
            </w:pPr>
          </w:p>
        </w:tc>
      </w:tr>
    </w:tbl>
    <w:p w14:paraId="71531720" w14:textId="77777777" w:rsidR="000003E7" w:rsidRPr="009D588B" w:rsidRDefault="000003E7" w:rsidP="00844BFA">
      <w:pPr>
        <w:outlineLvl w:val="0"/>
        <w:rPr>
          <w:i/>
          <w:sz w:val="20"/>
          <w:szCs w:val="20"/>
        </w:rPr>
      </w:pPr>
    </w:p>
    <w:p w14:paraId="1BAB16DF" w14:textId="2D131FA6" w:rsidR="00397635" w:rsidRDefault="00844BFA" w:rsidP="00397635">
      <w:pPr>
        <w:outlineLvl w:val="0"/>
        <w:rPr>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51B1F8B9" w14:textId="339FBC21" w:rsidR="008D7DD7" w:rsidRDefault="008D7DD7" w:rsidP="00397635">
      <w:pPr>
        <w:outlineLvl w:val="0"/>
        <w:rPr>
          <w:sz w:val="20"/>
          <w:szCs w:val="20"/>
        </w:rPr>
      </w:pPr>
    </w:p>
    <w:p w14:paraId="5024045E" w14:textId="77777777" w:rsidR="008D7DD7" w:rsidRPr="00240FBC" w:rsidRDefault="008D7DD7" w:rsidP="008D7DD7">
      <w:pPr>
        <w:jc w:val="both"/>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10C86112" w14:textId="77777777" w:rsidR="008D7DD7" w:rsidRPr="00240FBC" w:rsidRDefault="008D7DD7" w:rsidP="008D7DD7">
      <w:pPr>
        <w:spacing w:line="276" w:lineRule="auto"/>
        <w:rPr>
          <w:sz w:val="20"/>
          <w:szCs w:val="20"/>
          <w:lang w:val="en-GB"/>
        </w:rPr>
      </w:pPr>
    </w:p>
    <w:p w14:paraId="7240979F" w14:textId="1511A595" w:rsidR="008D7DD7" w:rsidRPr="00240FBC" w:rsidRDefault="008D7DD7" w:rsidP="008D7DD7">
      <w:pPr>
        <w:spacing w:line="276" w:lineRule="auto"/>
        <w:jc w:val="both"/>
        <w:rPr>
          <w:noProof/>
          <w:sz w:val="20"/>
          <w:szCs w:val="20"/>
          <w:lang w:val="en-GB"/>
        </w:rPr>
      </w:pPr>
      <w:r w:rsidRPr="00240FBC">
        <w:rPr>
          <w:sz w:val="20"/>
          <w:szCs w:val="20"/>
          <w:lang w:val="en-GB"/>
        </w:rPr>
        <w:t xml:space="preserve">The present voting form must be returned no later than </w:t>
      </w:r>
      <w:r w:rsidR="00AE0CB9">
        <w:rPr>
          <w:b/>
          <w:sz w:val="20"/>
          <w:szCs w:val="20"/>
          <w:lang w:val="en-GB"/>
        </w:rPr>
        <w:t>30</w:t>
      </w:r>
      <w:r>
        <w:rPr>
          <w:b/>
          <w:sz w:val="20"/>
          <w:szCs w:val="20"/>
          <w:lang w:val="en-GB"/>
        </w:rPr>
        <w:t xml:space="preserve"> </w:t>
      </w:r>
      <w:r w:rsidR="007E27A4">
        <w:rPr>
          <w:b/>
          <w:sz w:val="20"/>
          <w:szCs w:val="20"/>
          <w:lang w:val="en-GB"/>
        </w:rPr>
        <w:t>June</w:t>
      </w:r>
      <w:r w:rsidRPr="00240FBC">
        <w:rPr>
          <w:b/>
          <w:sz w:val="20"/>
          <w:szCs w:val="20"/>
          <w:lang w:val="en-GB"/>
        </w:rPr>
        <w:t xml:space="preserve"> 20</w:t>
      </w:r>
      <w:r>
        <w:rPr>
          <w:b/>
          <w:sz w:val="20"/>
          <w:szCs w:val="20"/>
          <w:lang w:val="en-GB"/>
        </w:rPr>
        <w:t>2</w:t>
      </w:r>
      <w:r w:rsidR="007E27A4">
        <w:rPr>
          <w:b/>
          <w:sz w:val="20"/>
          <w:szCs w:val="20"/>
          <w:lang w:val="en-GB"/>
        </w:rPr>
        <w:t>2</w:t>
      </w:r>
      <w:r>
        <w:rPr>
          <w:b/>
          <w:sz w:val="20"/>
          <w:szCs w:val="20"/>
          <w:lang w:val="en-GB"/>
        </w:rPr>
        <w:t xml:space="preserve"> </w:t>
      </w:r>
      <w:r w:rsidRPr="00240FBC">
        <w:rPr>
          <w:b/>
          <w:sz w:val="20"/>
          <w:szCs w:val="20"/>
          <w:lang w:val="en-GB"/>
        </w:rPr>
        <w:t xml:space="preserve">at </w:t>
      </w:r>
      <w:r>
        <w:rPr>
          <w:b/>
          <w:sz w:val="20"/>
          <w:szCs w:val="20"/>
          <w:lang w:val="en-GB"/>
        </w:rPr>
        <w:t xml:space="preserve">12:00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xml:space="preserve">, L-1273 Luxembourg, </w:t>
      </w:r>
      <w:r w:rsidRPr="00240FBC">
        <w:rPr>
          <w:noProof/>
          <w:sz w:val="20"/>
          <w:szCs w:val="20"/>
          <w:lang w:val="en-GB"/>
        </w:rPr>
        <w:t>or by e-mail to</w:t>
      </w:r>
      <w:r>
        <w:rPr>
          <w:noProof/>
          <w:sz w:val="20"/>
          <w:szCs w:val="20"/>
          <w:lang w:val="en-GB"/>
        </w:rPr>
        <w:t xml:space="preserve"> </w:t>
      </w:r>
      <w:hyperlink r:id="rId7" w:history="1">
        <w:r w:rsidRPr="00226A01">
          <w:rPr>
            <w:rStyle w:val="Hyperlink"/>
            <w:noProof/>
            <w:sz w:val="20"/>
            <w:szCs w:val="20"/>
            <w:lang w:val="en-GB"/>
          </w:rPr>
          <w:t>ir@kernel.ua</w:t>
        </w:r>
      </w:hyperlink>
      <w:r w:rsidRPr="00240FBC">
        <w:rPr>
          <w:rStyle w:val="Hyperlink"/>
          <w:sz w:val="20"/>
          <w:szCs w:val="20"/>
          <w:lang w:val="en-GB"/>
        </w:rPr>
        <w:t>.</w:t>
      </w:r>
    </w:p>
    <w:p w14:paraId="3305B5C9" w14:textId="77777777" w:rsidR="008D7DD7" w:rsidRPr="00240FBC" w:rsidRDefault="008D7DD7" w:rsidP="008D7DD7">
      <w:pPr>
        <w:pStyle w:val="Heading1"/>
        <w:spacing w:before="0" w:after="0"/>
        <w:rPr>
          <w:rFonts w:ascii="Times New Roman" w:hAnsi="Times New Roman" w:cs="Times New Roman"/>
          <w:b w:val="0"/>
          <w:bCs w:val="0"/>
          <w:sz w:val="20"/>
          <w:szCs w:val="20"/>
        </w:rPr>
      </w:pPr>
    </w:p>
    <w:p w14:paraId="7D1B9FC8" w14:textId="77777777" w:rsidR="008D7DD7" w:rsidRPr="00240FBC" w:rsidRDefault="008D7DD7" w:rsidP="008D7DD7">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27CDAB9A" w14:textId="77777777" w:rsidR="008D7DD7" w:rsidRPr="00240FBC" w:rsidRDefault="008D7DD7" w:rsidP="008D7DD7">
      <w:pPr>
        <w:pStyle w:val="Heading1"/>
        <w:spacing w:before="0" w:after="0"/>
        <w:rPr>
          <w:rFonts w:ascii="Times New Roman" w:hAnsi="Times New Roman" w:cs="Times New Roman"/>
          <w:sz w:val="20"/>
          <w:szCs w:val="20"/>
        </w:rPr>
      </w:pPr>
    </w:p>
    <w:p w14:paraId="12011F8C" w14:textId="183CF4CF" w:rsidR="008D7DD7" w:rsidRPr="008D7DD7" w:rsidRDefault="008D7DD7" w:rsidP="008D7DD7">
      <w:pPr>
        <w:jc w:val="both"/>
        <w:outlineLvl w:val="0"/>
        <w:rPr>
          <w:b/>
          <w:bCs/>
          <w:i/>
          <w:sz w:val="20"/>
          <w:szCs w:val="20"/>
        </w:rPr>
      </w:pPr>
      <w:r w:rsidRPr="008D7DD7">
        <w:rPr>
          <w:b/>
          <w:bCs/>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w:t>
      </w:r>
      <w:proofErr w:type="gramStart"/>
      <w:r w:rsidRPr="009D588B">
        <w:rPr>
          <w:sz w:val="20"/>
          <w:szCs w:val="20"/>
        </w:rPr>
        <w:t>…..</w:t>
      </w:r>
      <w:proofErr w:type="gramEnd"/>
      <w:r w:rsidRPr="009D588B">
        <w:rPr>
          <w:sz w:val="20"/>
          <w:szCs w:val="20"/>
        </w:rPr>
        <w:t xml:space="preserve"> (</w:t>
      </w:r>
      <w:proofErr w:type="gramStart"/>
      <w:r w:rsidRPr="009D588B">
        <w:rPr>
          <w:sz w:val="20"/>
          <w:szCs w:val="20"/>
        </w:rPr>
        <w:t>see</w:t>
      </w:r>
      <w:proofErr w:type="gramEnd"/>
      <w:r w:rsidRPr="009D588B">
        <w:rPr>
          <w:sz w:val="20"/>
          <w:szCs w:val="20"/>
        </w:rPr>
        <w:t xml:space="preserv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w:t>
      </w:r>
      <w:proofErr w:type="gramStart"/>
      <w:r w:rsidRPr="009D588B">
        <w:rPr>
          <w:sz w:val="20"/>
          <w:szCs w:val="20"/>
        </w:rPr>
        <w:t>see</w:t>
      </w:r>
      <w:proofErr w:type="gramEnd"/>
      <w:r w:rsidRPr="009D588B">
        <w:rPr>
          <w:sz w:val="20"/>
          <w:szCs w:val="20"/>
        </w:rPr>
        <w:t xml:space="preserv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roofErr w:type="gramStart"/>
      <w:r w:rsidRPr="009D588B">
        <w:rPr>
          <w:sz w:val="20"/>
          <w:szCs w:val="20"/>
        </w:rPr>
        <w:t>…..</w:t>
      </w:r>
      <w:proofErr w:type="gramEnd"/>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 xml:space="preserve">If you wish your proxy to cast </w:t>
      </w:r>
      <w:proofErr w:type="gramStart"/>
      <w:r w:rsidRPr="009D588B">
        <w:rPr>
          <w:sz w:val="14"/>
          <w:szCs w:val="14"/>
        </w:rPr>
        <w:t>all of</w:t>
      </w:r>
      <w:proofErr w:type="gramEnd"/>
      <w:r w:rsidRPr="009D588B">
        <w:rPr>
          <w:sz w:val="14"/>
          <w:szCs w:val="14"/>
        </w:rPr>
        <w:t xml:space="preserve">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1CC9430D" w14:textId="77777777" w:rsidR="00AE0CB9" w:rsidRPr="00AE0CB9" w:rsidRDefault="00AE0CB9" w:rsidP="00AE0CB9">
      <w:pPr>
        <w:spacing w:after="200" w:line="276" w:lineRule="auto"/>
        <w:jc w:val="center"/>
        <w:rPr>
          <w:rFonts w:eastAsiaTheme="minorHAnsi"/>
          <w:b/>
          <w:sz w:val="20"/>
          <w:szCs w:val="20"/>
          <w:u w:val="single"/>
          <w:lang w:eastAsia="en-US"/>
        </w:rPr>
      </w:pPr>
      <w:r w:rsidRPr="00AE0CB9">
        <w:rPr>
          <w:rFonts w:eastAsiaTheme="minorHAnsi"/>
          <w:b/>
          <w:sz w:val="20"/>
          <w:szCs w:val="20"/>
          <w:u w:val="single"/>
          <w:lang w:eastAsia="en-US"/>
        </w:rPr>
        <w:lastRenderedPageBreak/>
        <w:t>IMPORTANT INFORMATION FOR PARTICIPATING IN THE EXTRAORDINARY GENERAL MEETING OF SHAREHOLDERS</w:t>
      </w:r>
    </w:p>
    <w:p w14:paraId="701E19F8" w14:textId="77777777" w:rsidR="00AE0CB9" w:rsidRPr="00AE0CB9" w:rsidRDefault="00AE0CB9" w:rsidP="00AE0CB9">
      <w:pPr>
        <w:spacing w:after="200" w:line="276" w:lineRule="auto"/>
        <w:jc w:val="both"/>
        <w:rPr>
          <w:rFonts w:eastAsiaTheme="minorHAnsi"/>
          <w:sz w:val="20"/>
          <w:szCs w:val="20"/>
          <w:lang w:eastAsia="en-US"/>
        </w:rPr>
      </w:pPr>
      <w:bookmarkStart w:id="5" w:name="_Hlk55304835"/>
      <w:r w:rsidRPr="00AE0CB9">
        <w:rPr>
          <w:rFonts w:eastAsiaTheme="minorHAnsi"/>
          <w:sz w:val="20"/>
          <w:szCs w:val="20"/>
          <w:lang w:eastAsia="en-US"/>
        </w:rPr>
        <w:t xml:space="preserve">This information has been prepared to indicate the steps that should be taken by the shareholders </w:t>
      </w:r>
      <w:proofErr w:type="gramStart"/>
      <w:r w:rsidRPr="00AE0CB9">
        <w:rPr>
          <w:rFonts w:eastAsiaTheme="minorHAnsi"/>
          <w:sz w:val="20"/>
          <w:szCs w:val="20"/>
          <w:lang w:eastAsia="en-US"/>
        </w:rPr>
        <w:t>in order to</w:t>
      </w:r>
      <w:proofErr w:type="gramEnd"/>
      <w:r w:rsidRPr="00AE0CB9">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4DD72D8A" w14:textId="77777777" w:rsidR="00AE0CB9" w:rsidRPr="00AE0CB9" w:rsidRDefault="00AE0CB9" w:rsidP="00AE0CB9">
      <w:pPr>
        <w:spacing w:after="200" w:line="276" w:lineRule="auto"/>
        <w:jc w:val="both"/>
        <w:rPr>
          <w:rFonts w:eastAsiaTheme="minorHAnsi"/>
          <w:sz w:val="20"/>
          <w:szCs w:val="20"/>
          <w:lang w:eastAsia="en-US"/>
        </w:rPr>
      </w:pPr>
      <w:bookmarkStart w:id="6" w:name="_Hlk55304717"/>
      <w:r w:rsidRPr="00AE0CB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6"/>
    </w:p>
    <w:p w14:paraId="52FAD715"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Right to participate at the extraordinary general meeting of shareholders</w:t>
      </w:r>
    </w:p>
    <w:p w14:paraId="7C1A1332"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As indicated in the notice published on </w:t>
      </w:r>
      <w:r w:rsidRPr="00AE0CB9">
        <w:rPr>
          <w:rFonts w:eastAsiaTheme="minorHAnsi"/>
          <w:b/>
          <w:sz w:val="20"/>
          <w:szCs w:val="20"/>
          <w:lang w:eastAsia="en-US"/>
        </w:rPr>
        <w:t>1 June 2022</w:t>
      </w:r>
      <w:r w:rsidRPr="00AE0CB9">
        <w:rPr>
          <w:rFonts w:eastAsiaTheme="minorHAnsi"/>
          <w:sz w:val="20"/>
          <w:szCs w:val="20"/>
          <w:lang w:eastAsia="en-US"/>
        </w:rPr>
        <w:t xml:space="preserve"> on the website of the Warsaw Stock Exchange (</w:t>
      </w:r>
      <w:hyperlink r:id="rId8" w:anchor="reportsTab1" w:history="1">
        <w:r w:rsidRPr="00AE0CB9">
          <w:rPr>
            <w:rFonts w:eastAsiaTheme="minorHAnsi"/>
            <w:color w:val="0000FF" w:themeColor="hyperlink"/>
            <w:sz w:val="20"/>
            <w:szCs w:val="20"/>
            <w:u w:val="single"/>
            <w:lang w:eastAsia="en-US"/>
          </w:rPr>
          <w:t>https://www.gpw.pl/company-factsheet?isin=LU0327357389#reportsTab1</w:t>
        </w:r>
      </w:hyperlink>
      <w:r w:rsidRPr="00AE0CB9">
        <w:rPr>
          <w:rFonts w:eastAsiaTheme="minorHAnsi"/>
          <w:sz w:val="20"/>
          <w:szCs w:val="20"/>
          <w:lang w:eastAsia="en-US"/>
        </w:rPr>
        <w:t>) and the website of the Company (</w:t>
      </w:r>
      <w:hyperlink r:id="rId9" w:history="1">
        <w:r w:rsidRPr="00AE0CB9">
          <w:rPr>
            <w:rFonts w:eastAsiaTheme="minorHAnsi"/>
            <w:color w:val="0000FF" w:themeColor="hyperlink"/>
            <w:sz w:val="20"/>
            <w:szCs w:val="20"/>
            <w:u w:val="single"/>
            <w:lang w:eastAsia="en-US"/>
          </w:rPr>
          <w:t>www.kernel.ua</w:t>
        </w:r>
      </w:hyperlink>
      <w:r w:rsidRPr="00AE0CB9">
        <w:rPr>
          <w:rFonts w:eastAsiaTheme="minorHAnsi"/>
          <w:sz w:val="20"/>
          <w:szCs w:val="20"/>
          <w:lang w:eastAsia="en-US"/>
        </w:rPr>
        <w:t xml:space="preserve">) as well as filed with the Luxembourg Trade and Companies’ Register and published on the </w:t>
      </w:r>
      <w:proofErr w:type="spellStart"/>
      <w:r w:rsidRPr="00AE0CB9">
        <w:rPr>
          <w:rFonts w:eastAsiaTheme="minorHAnsi"/>
          <w:i/>
          <w:iCs/>
          <w:sz w:val="20"/>
          <w:szCs w:val="20"/>
          <w:lang w:val="en-GB" w:eastAsia="en-US"/>
        </w:rPr>
        <w:t>Recueil</w:t>
      </w:r>
      <w:proofErr w:type="spellEnd"/>
      <w:r w:rsidRPr="00AE0CB9">
        <w:rPr>
          <w:rFonts w:eastAsiaTheme="minorHAnsi"/>
          <w:i/>
          <w:iCs/>
          <w:sz w:val="20"/>
          <w:szCs w:val="20"/>
          <w:lang w:val="en-GB" w:eastAsia="en-US"/>
        </w:rPr>
        <w:t xml:space="preserve"> </w:t>
      </w:r>
      <w:proofErr w:type="spellStart"/>
      <w:r w:rsidRPr="00AE0CB9">
        <w:rPr>
          <w:rFonts w:eastAsiaTheme="minorHAnsi"/>
          <w:i/>
          <w:iCs/>
          <w:sz w:val="20"/>
          <w:szCs w:val="20"/>
          <w:lang w:val="en-GB" w:eastAsia="en-US"/>
        </w:rPr>
        <w:t>électronique</w:t>
      </w:r>
      <w:proofErr w:type="spellEnd"/>
      <w:r w:rsidRPr="00AE0CB9">
        <w:rPr>
          <w:rFonts w:eastAsiaTheme="minorHAnsi"/>
          <w:i/>
          <w:iCs/>
          <w:sz w:val="20"/>
          <w:szCs w:val="20"/>
          <w:lang w:val="en-GB" w:eastAsia="en-US"/>
        </w:rPr>
        <w:t xml:space="preserve"> des </w:t>
      </w:r>
      <w:proofErr w:type="spellStart"/>
      <w:r w:rsidRPr="00AE0CB9">
        <w:rPr>
          <w:rFonts w:eastAsiaTheme="minorHAnsi"/>
          <w:i/>
          <w:iCs/>
          <w:sz w:val="20"/>
          <w:szCs w:val="20"/>
          <w:lang w:val="en-GB" w:eastAsia="en-US"/>
        </w:rPr>
        <w:t>sociétés</w:t>
      </w:r>
      <w:proofErr w:type="spellEnd"/>
      <w:r w:rsidRPr="00AE0CB9">
        <w:rPr>
          <w:rFonts w:eastAsiaTheme="minorHAnsi"/>
          <w:i/>
          <w:iCs/>
          <w:sz w:val="20"/>
          <w:szCs w:val="20"/>
          <w:lang w:val="en-GB" w:eastAsia="en-US"/>
        </w:rPr>
        <w:t xml:space="preserve"> et associations</w:t>
      </w:r>
      <w:r w:rsidRPr="00AE0CB9">
        <w:rPr>
          <w:rFonts w:eastAsiaTheme="minorHAnsi"/>
          <w:sz w:val="20"/>
          <w:szCs w:val="20"/>
          <w:lang w:eastAsia="en-US"/>
        </w:rPr>
        <w:t xml:space="preserve"> and </w:t>
      </w:r>
      <w:bookmarkStart w:id="7" w:name="_Hlk78211426"/>
      <w:r w:rsidRPr="00AE0CB9">
        <w:rPr>
          <w:rFonts w:eastAsiaTheme="minorHAnsi"/>
          <w:sz w:val="20"/>
          <w:szCs w:val="20"/>
          <w:lang w:eastAsia="en-US"/>
        </w:rPr>
        <w:t xml:space="preserve">in the Luxembourg newspaper </w:t>
      </w:r>
      <w:bookmarkEnd w:id="7"/>
      <w:r w:rsidRPr="00AE0CB9">
        <w:rPr>
          <w:rFonts w:eastAsiaTheme="minorHAnsi"/>
          <w:sz w:val="20"/>
          <w:szCs w:val="20"/>
          <w:lang w:eastAsia="en-US"/>
        </w:rPr>
        <w:t>“</w:t>
      </w:r>
      <w:bookmarkStart w:id="8" w:name="_Hlk78211407"/>
      <w:proofErr w:type="spellStart"/>
      <w:r w:rsidRPr="00AE0CB9">
        <w:rPr>
          <w:rFonts w:eastAsiaTheme="minorHAnsi"/>
          <w:b/>
          <w:sz w:val="20"/>
          <w:szCs w:val="20"/>
          <w:lang w:eastAsia="en-US"/>
        </w:rPr>
        <w:t>Tageblatt</w:t>
      </w:r>
      <w:bookmarkEnd w:id="8"/>
      <w:proofErr w:type="spellEnd"/>
      <w:r w:rsidRPr="00AE0CB9">
        <w:rPr>
          <w:rFonts w:eastAsiaTheme="minorHAnsi"/>
          <w:sz w:val="20"/>
          <w:szCs w:val="20"/>
          <w:lang w:eastAsia="en-US"/>
        </w:rPr>
        <w:t xml:space="preserve">” any shareholder who holds one or more share(s) of the Company on </w:t>
      </w:r>
      <w:r w:rsidRPr="00AE0CB9">
        <w:rPr>
          <w:rFonts w:eastAsiaTheme="minorHAnsi"/>
          <w:b/>
          <w:sz w:val="20"/>
          <w:szCs w:val="20"/>
          <w:lang w:eastAsia="en-US"/>
        </w:rPr>
        <w:t>17 June 2022 at 12:00 a.m. (Luxembourg time)</w:t>
      </w:r>
      <w:r w:rsidRPr="00AE0CB9">
        <w:rPr>
          <w:rFonts w:eastAsiaTheme="minorHAnsi"/>
          <w:sz w:val="20"/>
          <w:szCs w:val="20"/>
          <w:lang w:eastAsia="en-US"/>
        </w:rPr>
        <w:t xml:space="preserve"> (the "</w:t>
      </w:r>
      <w:r w:rsidRPr="00AE0CB9">
        <w:rPr>
          <w:rFonts w:eastAsiaTheme="minorHAnsi"/>
          <w:b/>
          <w:sz w:val="20"/>
          <w:szCs w:val="20"/>
          <w:lang w:eastAsia="en-US"/>
        </w:rPr>
        <w:t>Record Date</w:t>
      </w:r>
      <w:r w:rsidRPr="00AE0CB9">
        <w:rPr>
          <w:rFonts w:eastAsiaTheme="minorHAnsi"/>
          <w:sz w:val="20"/>
          <w:szCs w:val="20"/>
          <w:lang w:eastAsia="en-US"/>
        </w:rPr>
        <w:t>") shall be admitted to the extraordinary general meeting of shareholders.</w:t>
      </w:r>
    </w:p>
    <w:p w14:paraId="0F5F6BD0" w14:textId="54DDBD8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w:t>
      </w:r>
      <w:proofErr w:type="spellStart"/>
      <w:r w:rsidRPr="00AE0CB9">
        <w:rPr>
          <w:rFonts w:eastAsiaTheme="minorHAnsi"/>
          <w:sz w:val="20"/>
          <w:szCs w:val="20"/>
          <w:lang w:eastAsia="en-US"/>
        </w:rPr>
        <w:t>Bitbourg</w:t>
      </w:r>
      <w:proofErr w:type="spellEnd"/>
      <w:r w:rsidRPr="00AE0CB9">
        <w:rPr>
          <w:rFonts w:eastAsiaTheme="minorHAnsi"/>
          <w:sz w:val="20"/>
          <w:szCs w:val="20"/>
          <w:lang w:eastAsia="en-US"/>
        </w:rPr>
        <w:t xml:space="preserve">, L-1273 Luxembourg, or by e-mail to </w:t>
      </w:r>
      <w:hyperlink r:id="rId10"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 xml:space="preserve">, and to the operator or depository or sub-depository no later than </w:t>
      </w:r>
      <w:r w:rsidR="005A55F5">
        <w:rPr>
          <w:rFonts w:eastAsiaTheme="minorHAnsi"/>
          <w:b/>
          <w:sz w:val="20"/>
          <w:szCs w:val="20"/>
          <w:lang w:eastAsia="en-US"/>
        </w:rPr>
        <w:t>1</w:t>
      </w:r>
      <w:r w:rsidRPr="00AE0CB9">
        <w:rPr>
          <w:rFonts w:eastAsiaTheme="minorHAnsi"/>
          <w:b/>
          <w:sz w:val="20"/>
          <w:szCs w:val="20"/>
          <w:lang w:eastAsia="en-US"/>
        </w:rPr>
        <w:t xml:space="preserve">7 </w:t>
      </w:r>
      <w:r w:rsidR="005A55F5">
        <w:rPr>
          <w:rFonts w:eastAsiaTheme="minorHAnsi"/>
          <w:b/>
          <w:sz w:val="20"/>
          <w:szCs w:val="20"/>
          <w:lang w:eastAsia="en-US"/>
        </w:rPr>
        <w:t>June</w:t>
      </w:r>
      <w:r w:rsidRPr="00AE0CB9">
        <w:rPr>
          <w:rFonts w:eastAsiaTheme="minorHAnsi"/>
          <w:b/>
          <w:sz w:val="20"/>
          <w:szCs w:val="20"/>
          <w:lang w:eastAsia="en-US"/>
        </w:rPr>
        <w:t xml:space="preserve"> 2022 at 12:00 a.m. (Luxembourg time)</w:t>
      </w:r>
      <w:r w:rsidRPr="00AE0CB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AE0CB9">
        <w:rPr>
          <w:rFonts w:eastAsiaTheme="minorHAnsi"/>
          <w:b/>
          <w:sz w:val="20"/>
          <w:szCs w:val="20"/>
          <w:lang w:eastAsia="en-US"/>
        </w:rPr>
        <w:t>28 June 2022 at 12:00 p.m. (Luxembourg time)</w:t>
      </w:r>
      <w:r w:rsidRPr="00AE0CB9">
        <w:rPr>
          <w:rFonts w:eastAsiaTheme="minorHAnsi"/>
          <w:sz w:val="20"/>
          <w:szCs w:val="20"/>
          <w:lang w:eastAsia="en-US"/>
        </w:rPr>
        <w:t>.</w:t>
      </w:r>
    </w:p>
    <w:p w14:paraId="5AB7CDC6"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AE0CB9">
        <w:rPr>
          <w:rFonts w:eastAsiaTheme="minorHAnsi"/>
          <w:sz w:val="20"/>
          <w:szCs w:val="20"/>
          <w:lang w:val="en-GB" w:eastAsia="en-US"/>
        </w:rPr>
        <w:t>a certificate certifying the number of shares recorded in their account on the Record Date</w:t>
      </w:r>
      <w:r w:rsidRPr="00AE0CB9">
        <w:rPr>
          <w:rFonts w:eastAsiaTheme="minorHAnsi"/>
          <w:sz w:val="20"/>
          <w:szCs w:val="20"/>
          <w:lang w:eastAsia="en-US"/>
        </w:rPr>
        <w:t>.</w:t>
      </w:r>
    </w:p>
    <w:p w14:paraId="585DFC25"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The free transferability of the shares shall remain unaffected by the convening and holding procedures of the extraordinary general meeting of shareholders. </w:t>
      </w:r>
      <w:proofErr w:type="gramStart"/>
      <w:r w:rsidRPr="00AE0CB9">
        <w:rPr>
          <w:rFonts w:eastAsiaTheme="minorHAnsi"/>
          <w:sz w:val="20"/>
          <w:szCs w:val="20"/>
          <w:lang w:eastAsia="en-US"/>
        </w:rPr>
        <w:t>In the event that</w:t>
      </w:r>
      <w:proofErr w:type="gramEnd"/>
      <w:r w:rsidRPr="00AE0CB9">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AE0CB9">
        <w:rPr>
          <w:rFonts w:eastAsiaTheme="minorHAnsi"/>
          <w:b/>
          <w:sz w:val="20"/>
          <w:szCs w:val="20"/>
          <w:lang w:eastAsia="en-US"/>
        </w:rPr>
        <w:t>30 June 2022 at 12:00 a.m. (Luxembourg time)</w:t>
      </w:r>
      <w:r w:rsidRPr="00AE0CB9">
        <w:rPr>
          <w:rFonts w:eastAsiaTheme="minorHAnsi"/>
          <w:sz w:val="20"/>
          <w:szCs w:val="20"/>
          <w:lang w:val="en-GB" w:eastAsia="en-US"/>
        </w:rPr>
        <w:t>.</w:t>
      </w:r>
      <w:r w:rsidRPr="00AE0CB9">
        <w:rPr>
          <w:rFonts w:eastAsiaTheme="minorHAnsi"/>
          <w:sz w:val="20"/>
          <w:szCs w:val="20"/>
          <w:lang w:eastAsia="en-US"/>
        </w:rPr>
        <w:t xml:space="preserve"> The proxy or voting form may be submitted by mail to the registered office of the Company to Kernel Holding S.A., 9, rue de </w:t>
      </w:r>
      <w:proofErr w:type="spellStart"/>
      <w:r w:rsidRPr="00AE0CB9">
        <w:rPr>
          <w:rFonts w:eastAsiaTheme="minorHAnsi"/>
          <w:sz w:val="20"/>
          <w:szCs w:val="20"/>
          <w:lang w:eastAsia="en-US"/>
        </w:rPr>
        <w:t>Bitbourg</w:t>
      </w:r>
      <w:proofErr w:type="spellEnd"/>
      <w:r w:rsidRPr="00AE0CB9">
        <w:rPr>
          <w:rFonts w:eastAsiaTheme="minorHAnsi"/>
          <w:sz w:val="20"/>
          <w:szCs w:val="20"/>
          <w:lang w:eastAsia="en-US"/>
        </w:rPr>
        <w:t xml:space="preserve">, L-1273 Luxembourg, no later than </w:t>
      </w:r>
      <w:r w:rsidRPr="00AE0CB9">
        <w:rPr>
          <w:rFonts w:eastAsiaTheme="minorHAnsi"/>
          <w:b/>
          <w:sz w:val="20"/>
          <w:szCs w:val="20"/>
          <w:lang w:eastAsia="en-US"/>
        </w:rPr>
        <w:t>30 June 2022 at 12:00 a.m. (Luxembourg time)</w:t>
      </w:r>
      <w:r w:rsidRPr="00AE0CB9">
        <w:rPr>
          <w:rFonts w:eastAsiaTheme="minorHAnsi"/>
          <w:sz w:val="20"/>
          <w:szCs w:val="20"/>
          <w:lang w:eastAsia="en-US"/>
        </w:rPr>
        <w:t xml:space="preserve"> or by e-mail to </w:t>
      </w:r>
      <w:hyperlink r:id="rId11"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w:t>
      </w:r>
    </w:p>
    <w:p w14:paraId="289F01C4"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Proxies, participation forms and voting forms are available on the website of the Company (</w:t>
      </w:r>
      <w:hyperlink r:id="rId12" w:history="1">
        <w:r w:rsidRPr="00AE0CB9">
          <w:rPr>
            <w:rFonts w:eastAsiaTheme="minorHAnsi"/>
            <w:color w:val="0000FF" w:themeColor="hyperlink"/>
            <w:sz w:val="20"/>
            <w:szCs w:val="20"/>
            <w:u w:val="single"/>
            <w:lang w:eastAsia="en-US"/>
          </w:rPr>
          <w:t>https://www.kernel.ua/investor-relations/shareholder-meetings/</w:t>
        </w:r>
      </w:hyperlink>
      <w:r w:rsidRPr="00AE0CB9">
        <w:rPr>
          <w:rFonts w:eastAsiaTheme="minorHAnsi"/>
          <w:sz w:val="20"/>
          <w:szCs w:val="20"/>
          <w:lang w:eastAsia="en-US"/>
        </w:rPr>
        <w:t xml:space="preserve">), or upon demand made in writing to Kernel Holding S.A., 9, rue de </w:t>
      </w:r>
      <w:proofErr w:type="spellStart"/>
      <w:r w:rsidRPr="00AE0CB9">
        <w:rPr>
          <w:rFonts w:eastAsiaTheme="minorHAnsi"/>
          <w:sz w:val="20"/>
          <w:szCs w:val="20"/>
          <w:lang w:eastAsia="en-US"/>
        </w:rPr>
        <w:t>Bitbourg</w:t>
      </w:r>
      <w:proofErr w:type="spellEnd"/>
      <w:r w:rsidRPr="00AE0CB9">
        <w:rPr>
          <w:rFonts w:eastAsiaTheme="minorHAnsi"/>
          <w:sz w:val="20"/>
          <w:szCs w:val="20"/>
          <w:lang w:eastAsia="en-US"/>
        </w:rPr>
        <w:t xml:space="preserve">, L-1273 Luxembourg, or by e-mail to </w:t>
      </w:r>
      <w:hyperlink r:id="rId13"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w:t>
      </w:r>
    </w:p>
    <w:p w14:paraId="77138C60"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Proxies, participation forms and voting forms provided on the website of the Company (</w:t>
      </w:r>
      <w:hyperlink r:id="rId14" w:history="1">
        <w:r w:rsidRPr="00AE0CB9">
          <w:rPr>
            <w:rFonts w:eastAsiaTheme="minorHAnsi"/>
            <w:color w:val="0000FF" w:themeColor="hyperlink"/>
            <w:sz w:val="20"/>
            <w:szCs w:val="20"/>
            <w:u w:val="single"/>
            <w:lang w:eastAsia="en-US"/>
          </w:rPr>
          <w:t>www.kernel.ua</w:t>
        </w:r>
      </w:hyperlink>
      <w:r w:rsidRPr="00AE0CB9">
        <w:rPr>
          <w:rFonts w:eastAsiaTheme="minorHAnsi"/>
          <w:sz w:val="20"/>
          <w:szCs w:val="20"/>
          <w:lang w:eastAsia="en-US"/>
        </w:rPr>
        <w:t xml:space="preserve">) may be used and will be </w:t>
      </w:r>
      <w:proofErr w:type="gramStart"/>
      <w:r w:rsidRPr="00AE0CB9">
        <w:rPr>
          <w:rFonts w:eastAsiaTheme="minorHAnsi"/>
          <w:sz w:val="20"/>
          <w:szCs w:val="20"/>
          <w:lang w:eastAsia="en-US"/>
        </w:rPr>
        <w:t>taken into account</w:t>
      </w:r>
      <w:proofErr w:type="gramEnd"/>
      <w:r w:rsidRPr="00AE0CB9">
        <w:rPr>
          <w:rFonts w:eastAsiaTheme="minorHAnsi"/>
          <w:sz w:val="20"/>
          <w:szCs w:val="20"/>
          <w:lang w:eastAsia="en-US"/>
        </w:rPr>
        <w:t>. One person may represent more than one shareholder.</w:t>
      </w:r>
    </w:p>
    <w:p w14:paraId="43FD265A"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lastRenderedPageBreak/>
        <w:t>Whether or not you propose to attend the extraordinary general meeting of shareholders in person, we request that the participation form and/or proxy and/or voting form are to be completed and returned in accordance with the instructions printed thereon.</w:t>
      </w:r>
    </w:p>
    <w:p w14:paraId="61B51EB0"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Completion and return of a proxy or voting form will not prevent shareholders from attending and voting at the extraordinary general meeting of shareholders, should they so wish. </w:t>
      </w:r>
    </w:p>
    <w:p w14:paraId="7C673787"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If proxy voting instructions are not provided for a resolution, the proxy will be deemed to abstain from voting on such resolution.</w:t>
      </w:r>
    </w:p>
    <w:p w14:paraId="1ECA1DF9"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For the proxy to be valid, the name of the shareholder must be identical in the proxy and in the registered depositary certificate.</w:t>
      </w:r>
    </w:p>
    <w:p w14:paraId="4AEC8A89"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Kindly send the duly completed and signed participation form and/or proxy and/or voting form either by email (scanned document) to </w:t>
      </w:r>
      <w:hyperlink r:id="rId15"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val="en-GB" w:eastAsia="en-US"/>
        </w:rPr>
        <w:t>, or by post to the following address, quoting “2022 Extraordinary General Meeting of Kernel Holding S.A.”:</w:t>
      </w:r>
    </w:p>
    <w:p w14:paraId="6F8B82A2"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Kernel Holding S.A. </w:t>
      </w:r>
    </w:p>
    <w:p w14:paraId="561F6B06"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9, rue de </w:t>
      </w:r>
      <w:proofErr w:type="spellStart"/>
      <w:r w:rsidRPr="00AE0CB9">
        <w:rPr>
          <w:rFonts w:eastAsiaTheme="minorHAnsi"/>
          <w:sz w:val="20"/>
          <w:szCs w:val="20"/>
          <w:lang w:val="en-GB" w:eastAsia="en-US"/>
        </w:rPr>
        <w:t>Bitbourg</w:t>
      </w:r>
      <w:proofErr w:type="spellEnd"/>
    </w:p>
    <w:p w14:paraId="0E59ADDC"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L-1273 Luxembourg</w:t>
      </w:r>
    </w:p>
    <w:p w14:paraId="216F7AE2" w14:textId="77777777" w:rsidR="00AE0CB9" w:rsidRPr="00AE0CB9" w:rsidRDefault="00AE0CB9" w:rsidP="00AE0CB9">
      <w:pPr>
        <w:spacing w:after="200" w:line="276" w:lineRule="auto"/>
        <w:jc w:val="both"/>
        <w:rPr>
          <w:rFonts w:eastAsiaTheme="minorHAnsi"/>
          <w:sz w:val="20"/>
          <w:szCs w:val="20"/>
          <w:lang w:val="en-GB" w:eastAsia="en-US"/>
        </w:rPr>
      </w:pPr>
    </w:p>
    <w:p w14:paraId="4CC9FF27"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Right to have new items added to the agenda of the extraordinary general meeting of shareholders</w:t>
      </w:r>
    </w:p>
    <w:p w14:paraId="7C4E46D8"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One or more shareholders holding together at least 5% of the share capital of the Company may:</w:t>
      </w:r>
    </w:p>
    <w:p w14:paraId="6200B7D7" w14:textId="77777777" w:rsidR="00AE0CB9" w:rsidRPr="00AE0CB9" w:rsidRDefault="00AE0CB9" w:rsidP="00AE0CB9">
      <w:pPr>
        <w:numPr>
          <w:ilvl w:val="0"/>
          <w:numId w:val="11"/>
        </w:numPr>
        <w:spacing w:after="200" w:line="276" w:lineRule="auto"/>
        <w:jc w:val="both"/>
        <w:rPr>
          <w:rFonts w:eastAsiaTheme="minorHAnsi"/>
          <w:sz w:val="20"/>
          <w:szCs w:val="20"/>
          <w:lang w:eastAsia="en-US"/>
        </w:rPr>
      </w:pPr>
      <w:r w:rsidRPr="00AE0CB9">
        <w:rPr>
          <w:rFonts w:eastAsiaTheme="minorHAnsi"/>
          <w:sz w:val="20"/>
          <w:szCs w:val="20"/>
          <w:lang w:eastAsia="en-US"/>
        </w:rPr>
        <w:t>Add new items on the agenda of the extraordinary general meeting of shareholders;</w:t>
      </w:r>
    </w:p>
    <w:p w14:paraId="5099982F" w14:textId="77777777" w:rsidR="00AE0CB9" w:rsidRPr="00AE0CB9" w:rsidRDefault="00AE0CB9" w:rsidP="00AE0CB9">
      <w:pPr>
        <w:numPr>
          <w:ilvl w:val="0"/>
          <w:numId w:val="11"/>
        </w:numPr>
        <w:spacing w:after="200" w:line="276" w:lineRule="auto"/>
        <w:jc w:val="both"/>
        <w:rPr>
          <w:rFonts w:eastAsiaTheme="minorHAnsi"/>
          <w:sz w:val="20"/>
          <w:szCs w:val="20"/>
          <w:lang w:eastAsia="en-US"/>
        </w:rPr>
      </w:pPr>
      <w:r w:rsidRPr="00AE0CB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w:t>
      </w:r>
      <w:proofErr w:type="spellStart"/>
      <w:r w:rsidRPr="00AE0CB9">
        <w:rPr>
          <w:rFonts w:eastAsiaTheme="minorHAnsi"/>
          <w:sz w:val="20"/>
          <w:szCs w:val="20"/>
          <w:lang w:eastAsia="en-US"/>
        </w:rPr>
        <w:t>Bitbourg</w:t>
      </w:r>
      <w:proofErr w:type="spellEnd"/>
      <w:r w:rsidRPr="00AE0CB9">
        <w:rPr>
          <w:rFonts w:eastAsiaTheme="minorHAnsi"/>
          <w:sz w:val="20"/>
          <w:szCs w:val="20"/>
          <w:lang w:eastAsia="en-US"/>
        </w:rPr>
        <w:t xml:space="preserve">, L-1273 Luxembourg or by e-mail to </w:t>
      </w:r>
      <w:hyperlink r:id="rId16"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w:t>
      </w:r>
    </w:p>
    <w:p w14:paraId="2F701E30" w14:textId="77777777" w:rsidR="00AE0CB9" w:rsidRPr="00AE0CB9" w:rsidRDefault="00AE0CB9" w:rsidP="00AE0CB9">
      <w:pPr>
        <w:spacing w:after="200" w:line="276" w:lineRule="auto"/>
        <w:jc w:val="both"/>
        <w:rPr>
          <w:rFonts w:eastAsiaTheme="minorHAnsi"/>
          <w:sz w:val="20"/>
          <w:szCs w:val="20"/>
          <w:lang w:eastAsia="en-US"/>
        </w:rPr>
      </w:pPr>
    </w:p>
    <w:p w14:paraId="7B42EC7A"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AE0CB9">
        <w:rPr>
          <w:rFonts w:eastAsiaTheme="minorHAnsi"/>
          <w:b/>
          <w:sz w:val="20"/>
          <w:szCs w:val="20"/>
          <w:lang w:eastAsia="en-US"/>
        </w:rPr>
        <w:t>9 June 2022 at 12:00 a.m. (Luxembourg time)</w:t>
      </w:r>
      <w:r w:rsidRPr="00AE0CB9">
        <w:rPr>
          <w:rFonts w:eastAsiaTheme="minorHAnsi"/>
          <w:sz w:val="20"/>
          <w:szCs w:val="20"/>
          <w:lang w:val="en-GB" w:eastAsia="en-US"/>
        </w:rPr>
        <w:t>.</w:t>
      </w:r>
      <w:r w:rsidRPr="00AE0CB9">
        <w:rPr>
          <w:rFonts w:eastAsiaTheme="minorHAnsi"/>
          <w:b/>
          <w:sz w:val="20"/>
          <w:szCs w:val="20"/>
          <w:lang w:eastAsia="en-US"/>
        </w:rPr>
        <w:t xml:space="preserve"> </w:t>
      </w:r>
      <w:r w:rsidRPr="00AE0CB9">
        <w:rPr>
          <w:rFonts w:eastAsiaTheme="minorHAnsi"/>
          <w:sz w:val="20"/>
          <w:szCs w:val="20"/>
          <w:lang w:eastAsia="en-US"/>
        </w:rPr>
        <w:t>The Company will acknowledge the receipt of such requests within 48 hours upon receipt.</w:t>
      </w:r>
    </w:p>
    <w:p w14:paraId="51770ABE"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eastAsia="en-US"/>
        </w:rPr>
        <w:t xml:space="preserve">The Company will publish an updated agenda of the extraordinary general meeting of shareholders at the latest on </w:t>
      </w:r>
      <w:r w:rsidRPr="00AE0CB9">
        <w:rPr>
          <w:rFonts w:eastAsiaTheme="minorHAnsi"/>
          <w:b/>
          <w:bCs/>
          <w:sz w:val="20"/>
          <w:szCs w:val="20"/>
          <w:lang w:eastAsia="en-US"/>
        </w:rPr>
        <w:t>16 June</w:t>
      </w:r>
      <w:r w:rsidRPr="00AE0CB9">
        <w:rPr>
          <w:rFonts w:eastAsiaTheme="minorHAnsi"/>
          <w:sz w:val="20"/>
          <w:szCs w:val="20"/>
          <w:lang w:eastAsia="en-US"/>
        </w:rPr>
        <w:t xml:space="preserve"> </w:t>
      </w:r>
      <w:r w:rsidRPr="00AE0CB9">
        <w:rPr>
          <w:rFonts w:eastAsiaTheme="minorHAnsi"/>
          <w:b/>
          <w:sz w:val="20"/>
          <w:szCs w:val="20"/>
          <w:lang w:eastAsia="en-US"/>
        </w:rPr>
        <w:t>2022 at 12:00 a.m. (Luxembourg time)</w:t>
      </w:r>
      <w:r w:rsidRPr="00AE0CB9">
        <w:rPr>
          <w:rFonts w:eastAsiaTheme="minorHAnsi"/>
          <w:sz w:val="20"/>
          <w:szCs w:val="20"/>
          <w:lang w:val="en-GB" w:eastAsia="en-US"/>
        </w:rPr>
        <w:t>.</w:t>
      </w:r>
    </w:p>
    <w:p w14:paraId="5EE3EFC4"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Right to inspect certain documents at the registered office of the Company</w:t>
      </w:r>
    </w:p>
    <w:p w14:paraId="69721CC0"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9" w:name="_Hlk86912705"/>
      <w:r w:rsidRPr="00AE0CB9">
        <w:rPr>
          <w:rFonts w:eastAsiaTheme="minorHAnsi"/>
          <w:noProof/>
          <w:sz w:val="20"/>
          <w:szCs w:val="20"/>
          <w:lang w:val="en-GB" w:eastAsia="en-US"/>
        </w:rPr>
        <w:t xml:space="preserve">or </w:t>
      </w:r>
      <w:r w:rsidRPr="00AE0CB9">
        <w:rPr>
          <w:rFonts w:eastAsiaTheme="minorHAnsi"/>
          <w:sz w:val="20"/>
          <w:szCs w:val="20"/>
          <w:lang w:eastAsia="en-US"/>
        </w:rPr>
        <w:t>on the website of the Company (</w:t>
      </w:r>
      <w:hyperlink r:id="rId17" w:history="1">
        <w:r w:rsidRPr="00AE0CB9">
          <w:rPr>
            <w:rFonts w:eastAsiaTheme="minorHAnsi"/>
            <w:color w:val="0000FF" w:themeColor="hyperlink"/>
            <w:sz w:val="20"/>
            <w:szCs w:val="20"/>
            <w:u w:val="single"/>
            <w:lang w:eastAsia="en-US"/>
          </w:rPr>
          <w:t>https://www.kernel.ua/investor-relations/shareholder-meetings/</w:t>
        </w:r>
      </w:hyperlink>
      <w:r w:rsidRPr="00AE0CB9">
        <w:rPr>
          <w:rFonts w:eastAsiaTheme="minorHAnsi"/>
          <w:color w:val="0000FF" w:themeColor="hyperlink"/>
          <w:sz w:val="20"/>
          <w:szCs w:val="20"/>
          <w:u w:val="single"/>
          <w:lang w:eastAsia="en-US"/>
        </w:rPr>
        <w:t>)</w:t>
      </w:r>
      <w:bookmarkEnd w:id="9"/>
      <w:r w:rsidRPr="00AE0CB9">
        <w:rPr>
          <w:rFonts w:eastAsiaTheme="minorHAnsi"/>
          <w:color w:val="0000FF" w:themeColor="hyperlink"/>
          <w:sz w:val="20"/>
          <w:szCs w:val="20"/>
          <w:u w:val="single"/>
          <w:lang w:eastAsia="en-US"/>
        </w:rPr>
        <w:t xml:space="preserve"> </w:t>
      </w:r>
      <w:r w:rsidRPr="00AE0CB9">
        <w:rPr>
          <w:rFonts w:eastAsiaTheme="minorHAnsi"/>
          <w:sz w:val="20"/>
          <w:szCs w:val="20"/>
          <w:lang w:eastAsia="en-US"/>
        </w:rPr>
        <w:t>as of the date of the publication of the present convening notice.</w:t>
      </w:r>
    </w:p>
    <w:p w14:paraId="59C5D6D4"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Language</w:t>
      </w:r>
    </w:p>
    <w:p w14:paraId="15CF5E22"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4F5AED08"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lastRenderedPageBreak/>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6E442BF6"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Further questions</w:t>
      </w:r>
    </w:p>
    <w:p w14:paraId="48577753"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Shareholders may address all queries with respect to the extraordinary general meeting of shareholders by email to the following email address: </w:t>
      </w:r>
      <w:hyperlink r:id="rId18"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 or to the following address:</w:t>
      </w:r>
    </w:p>
    <w:p w14:paraId="5E8987D6"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Kernel Holding S.A. </w:t>
      </w:r>
    </w:p>
    <w:p w14:paraId="5D2D1108"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9, rue de </w:t>
      </w:r>
      <w:proofErr w:type="spellStart"/>
      <w:r w:rsidRPr="00AE0CB9">
        <w:rPr>
          <w:rFonts w:eastAsiaTheme="minorHAnsi"/>
          <w:sz w:val="20"/>
          <w:szCs w:val="20"/>
          <w:lang w:eastAsia="en-US"/>
        </w:rPr>
        <w:t>Bitbourg</w:t>
      </w:r>
      <w:proofErr w:type="spellEnd"/>
    </w:p>
    <w:p w14:paraId="24F33627"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eastAsia="en-US"/>
        </w:rPr>
        <w:t>L-1273 Luxembourg</w:t>
      </w:r>
      <w:r w:rsidRPr="00AE0CB9">
        <w:rPr>
          <w:rFonts w:eastAsiaTheme="minorHAnsi"/>
          <w:sz w:val="20"/>
          <w:szCs w:val="20"/>
          <w:lang w:val="en-GB" w:eastAsia="en-US"/>
        </w:rPr>
        <w:t xml:space="preserve"> </w:t>
      </w:r>
    </w:p>
    <w:p w14:paraId="21712C45" w14:textId="77777777" w:rsidR="00AE0CB9" w:rsidRPr="00AE0CB9" w:rsidRDefault="00AE0CB9" w:rsidP="00AE0CB9">
      <w:pPr>
        <w:spacing w:after="200" w:line="276" w:lineRule="auto"/>
        <w:jc w:val="both"/>
        <w:rPr>
          <w:rFonts w:eastAsiaTheme="minorHAnsi"/>
          <w:sz w:val="20"/>
          <w:szCs w:val="20"/>
          <w:lang w:val="en-GB" w:eastAsia="en-US"/>
        </w:rPr>
      </w:pPr>
    </w:p>
    <w:p w14:paraId="0DBC0C17"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On all related correspondence, kindly indicate the following notice: </w:t>
      </w:r>
    </w:p>
    <w:p w14:paraId="02288A9A"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w:t>
      </w:r>
      <w:r w:rsidRPr="00AE0CB9">
        <w:rPr>
          <w:rFonts w:eastAsiaTheme="minorHAnsi"/>
          <w:b/>
          <w:sz w:val="20"/>
          <w:szCs w:val="20"/>
          <w:lang w:eastAsia="en-US"/>
        </w:rPr>
        <w:t>2022 Extraordinary General Meeting of Shareholders of Kernel Holding S.A.</w:t>
      </w:r>
      <w:r w:rsidRPr="00AE0CB9">
        <w:rPr>
          <w:rFonts w:eastAsiaTheme="minorHAnsi"/>
          <w:sz w:val="20"/>
          <w:szCs w:val="20"/>
          <w:lang w:eastAsia="en-US"/>
        </w:rPr>
        <w:t>”</w:t>
      </w:r>
    </w:p>
    <w:p w14:paraId="6859EAEB"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AE0CB9">
        <w:rPr>
          <w:rFonts w:eastAsiaTheme="minorHAnsi"/>
          <w:sz w:val="20"/>
          <w:szCs w:val="20"/>
          <w:u w:val="single"/>
          <w:lang w:eastAsia="en-US"/>
        </w:rPr>
        <w:t>www.kernel.ua</w:t>
      </w:r>
      <w:r w:rsidRPr="00AE0CB9">
        <w:rPr>
          <w:rFonts w:eastAsiaTheme="minorHAnsi"/>
          <w:bCs/>
          <w:sz w:val="20"/>
          <w:szCs w:val="20"/>
          <w:lang w:eastAsia="en-US"/>
        </w:rPr>
        <w:t xml:space="preserve">) </w:t>
      </w:r>
      <w:r w:rsidRPr="00AE0CB9">
        <w:rPr>
          <w:rFonts w:eastAsiaTheme="minorHAnsi"/>
          <w:sz w:val="20"/>
          <w:szCs w:val="20"/>
          <w:lang w:eastAsia="en-US"/>
        </w:rPr>
        <w:t xml:space="preserve">or may be obtained by sending an e-mail to </w:t>
      </w:r>
      <w:hyperlink r:id="rId19"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u w:val="single"/>
          <w:lang w:eastAsia="en-US"/>
        </w:rPr>
        <w:t>.</w:t>
      </w:r>
      <w:r w:rsidRPr="00AE0CB9">
        <w:rPr>
          <w:rFonts w:eastAsiaTheme="minorHAnsi"/>
          <w:sz w:val="20"/>
          <w:szCs w:val="20"/>
          <w:lang w:eastAsia="en-US"/>
        </w:rPr>
        <w:t xml:space="preserve"> </w:t>
      </w:r>
    </w:p>
    <w:bookmarkEnd w:id="5"/>
    <w:p w14:paraId="5C962352" w14:textId="77777777" w:rsidR="00AE0CB9" w:rsidRPr="00AE0CB9" w:rsidRDefault="00AE0CB9" w:rsidP="00AE0CB9">
      <w:pPr>
        <w:spacing w:after="200" w:line="276" w:lineRule="auto"/>
        <w:jc w:val="both"/>
        <w:rPr>
          <w:rFonts w:eastAsiaTheme="minorHAnsi"/>
          <w:sz w:val="20"/>
          <w:szCs w:val="20"/>
          <w:lang w:val="en-GB" w:eastAsia="en-US"/>
        </w:rPr>
      </w:pPr>
    </w:p>
    <w:p w14:paraId="06D5EB7E" w14:textId="77777777" w:rsidR="00AE0CB9" w:rsidRPr="00AE0CB9" w:rsidRDefault="00AE0CB9" w:rsidP="00AE0CB9">
      <w:pPr>
        <w:spacing w:after="200" w:line="276" w:lineRule="auto"/>
        <w:jc w:val="both"/>
        <w:rPr>
          <w:rFonts w:eastAsiaTheme="minorHAnsi"/>
          <w:b/>
          <w:sz w:val="20"/>
          <w:szCs w:val="20"/>
          <w:lang w:val="en-GB" w:eastAsia="en-US"/>
        </w:rPr>
      </w:pPr>
    </w:p>
    <w:p w14:paraId="57B7E710"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______________________</w:t>
      </w:r>
    </w:p>
    <w:p w14:paraId="452823AF"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Anastasiia USACHOVA</w:t>
      </w:r>
    </w:p>
    <w:p w14:paraId="2FEDC65E"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Director</w:t>
      </w:r>
    </w:p>
    <w:p w14:paraId="4FDFDD2A" w14:textId="77777777" w:rsidR="00AE0CB9" w:rsidRPr="00AE0CB9" w:rsidRDefault="00AE0CB9" w:rsidP="00AE0CB9">
      <w:pPr>
        <w:spacing w:after="200" w:line="276" w:lineRule="auto"/>
        <w:jc w:val="both"/>
        <w:rPr>
          <w:rFonts w:eastAsiaTheme="minorHAnsi"/>
          <w:b/>
          <w:sz w:val="20"/>
          <w:szCs w:val="20"/>
          <w:lang w:val="en-GB" w:eastAsia="en-US"/>
        </w:rPr>
      </w:pPr>
    </w:p>
    <w:p w14:paraId="5A346601" w14:textId="77777777" w:rsidR="00AE0CB9" w:rsidRPr="00AE0CB9" w:rsidRDefault="00AE0CB9" w:rsidP="00AE0CB9">
      <w:pPr>
        <w:spacing w:after="200" w:line="276" w:lineRule="auto"/>
        <w:jc w:val="both"/>
        <w:rPr>
          <w:rFonts w:eastAsiaTheme="minorHAnsi"/>
          <w:b/>
          <w:sz w:val="20"/>
          <w:szCs w:val="20"/>
          <w:lang w:val="en-GB" w:eastAsia="en-US"/>
        </w:rPr>
      </w:pPr>
    </w:p>
    <w:p w14:paraId="273A14B9"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_____________________</w:t>
      </w:r>
    </w:p>
    <w:p w14:paraId="7A39C74F"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 xml:space="preserve">Yuriy KOVALCHUK </w:t>
      </w:r>
    </w:p>
    <w:p w14:paraId="15A01431"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Director</w:t>
      </w:r>
    </w:p>
    <w:p w14:paraId="39336442" w14:textId="77777777" w:rsidR="00AE0CB9" w:rsidRPr="00AE0CB9" w:rsidRDefault="00AE0CB9" w:rsidP="00AE0CB9">
      <w:pPr>
        <w:spacing w:after="200" w:line="276" w:lineRule="auto"/>
        <w:jc w:val="both"/>
        <w:rPr>
          <w:rFonts w:eastAsiaTheme="minorHAnsi"/>
          <w:b/>
          <w:sz w:val="20"/>
          <w:szCs w:val="20"/>
          <w:lang w:eastAsia="en-US"/>
        </w:rPr>
      </w:pPr>
    </w:p>
    <w:p w14:paraId="039A0442" w14:textId="77777777" w:rsidR="00AE0CB9" w:rsidRPr="00AE0CB9" w:rsidRDefault="00AE0CB9" w:rsidP="00AE0CB9">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20"/>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130C908D"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553D33">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w:t>
    </w:r>
    <w:r w:rsidR="005A58BC">
      <w:rPr>
        <w:rFonts w:ascii="Arial" w:hAnsi="Arial" w:cs="Arial"/>
        <w:sz w:val="14"/>
        <w:szCs w:val="14"/>
      </w:rPr>
      <w:t>EGM</w:t>
    </w:r>
    <w:r>
      <w:rPr>
        <w:rFonts w:ascii="Arial" w:hAnsi="Arial" w:cs="Arial"/>
        <w:sz w:val="14"/>
        <w:szCs w:val="14"/>
      </w:rPr>
      <w:t xml:space="preserve"> </w:t>
    </w:r>
    <w:r w:rsidR="00B7057E">
      <w:rPr>
        <w:rFonts w:ascii="Arial" w:hAnsi="Arial" w:cs="Arial"/>
        <w:sz w:val="14"/>
        <w:szCs w:val="14"/>
      </w:rPr>
      <w:t>1</w:t>
    </w:r>
    <w:r>
      <w:rPr>
        <w:rFonts w:ascii="Arial" w:hAnsi="Arial" w:cs="Arial"/>
        <w:sz w:val="14"/>
        <w:szCs w:val="14"/>
      </w:rPr>
      <w:t xml:space="preserve"> </w:t>
    </w:r>
    <w:r w:rsidR="00B7057E">
      <w:rPr>
        <w:rFonts w:ascii="Arial" w:hAnsi="Arial" w:cs="Arial"/>
        <w:sz w:val="14"/>
        <w:szCs w:val="14"/>
      </w:rPr>
      <w:t>Ju</w:t>
    </w:r>
    <w:r w:rsidR="00AE0CB9">
      <w:rPr>
        <w:rFonts w:ascii="Arial" w:hAnsi="Arial" w:cs="Arial"/>
        <w:sz w:val="14"/>
        <w:szCs w:val="14"/>
      </w:rPr>
      <w:t>ly</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B7057E">
      <w:rPr>
        <w:rFonts w:ascii="Arial" w:hAnsi="Arial" w:cs="Arial"/>
        <w:sz w:val="14"/>
        <w:szCs w:val="14"/>
      </w:rPr>
      <w:t>2</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86388306">
    <w:abstractNumId w:val="10"/>
  </w:num>
  <w:num w:numId="2" w16cid:durableId="2099252600">
    <w:abstractNumId w:val="6"/>
  </w:num>
  <w:num w:numId="3" w16cid:durableId="1504391820">
    <w:abstractNumId w:val="8"/>
  </w:num>
  <w:num w:numId="4" w16cid:durableId="1914268776">
    <w:abstractNumId w:val="1"/>
  </w:num>
  <w:num w:numId="5" w16cid:durableId="764154961">
    <w:abstractNumId w:val="0"/>
  </w:num>
  <w:num w:numId="6" w16cid:durableId="415173247">
    <w:abstractNumId w:val="7"/>
  </w:num>
  <w:num w:numId="7" w16cid:durableId="1934702319">
    <w:abstractNumId w:val="2"/>
  </w:num>
  <w:num w:numId="8" w16cid:durableId="974607953">
    <w:abstractNumId w:val="9"/>
  </w:num>
  <w:num w:numId="9" w16cid:durableId="1988852861">
    <w:abstractNumId w:val="3"/>
  </w:num>
  <w:num w:numId="10" w16cid:durableId="1557088355">
    <w:abstractNumId w:val="11"/>
  </w:num>
  <w:num w:numId="11" w16cid:durableId="2097164186">
    <w:abstractNumId w:val="5"/>
  </w:num>
  <w:num w:numId="12" w16cid:durableId="1909725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71EA1"/>
    <w:rsid w:val="000808BF"/>
    <w:rsid w:val="0008229C"/>
    <w:rsid w:val="001001D2"/>
    <w:rsid w:val="00115DD9"/>
    <w:rsid w:val="001337AA"/>
    <w:rsid w:val="001400F6"/>
    <w:rsid w:val="00153951"/>
    <w:rsid w:val="001606D8"/>
    <w:rsid w:val="00161F3E"/>
    <w:rsid w:val="0017071E"/>
    <w:rsid w:val="00171906"/>
    <w:rsid w:val="001D640C"/>
    <w:rsid w:val="001E51B0"/>
    <w:rsid w:val="001E66D8"/>
    <w:rsid w:val="00216021"/>
    <w:rsid w:val="00221951"/>
    <w:rsid w:val="002334EB"/>
    <w:rsid w:val="0023758C"/>
    <w:rsid w:val="0024209E"/>
    <w:rsid w:val="00251056"/>
    <w:rsid w:val="002652A7"/>
    <w:rsid w:val="002A5D50"/>
    <w:rsid w:val="003112C5"/>
    <w:rsid w:val="003511E6"/>
    <w:rsid w:val="00363444"/>
    <w:rsid w:val="003736A3"/>
    <w:rsid w:val="00397635"/>
    <w:rsid w:val="003B386F"/>
    <w:rsid w:val="003D4C6F"/>
    <w:rsid w:val="003E2F6E"/>
    <w:rsid w:val="004050A5"/>
    <w:rsid w:val="00413742"/>
    <w:rsid w:val="00427B23"/>
    <w:rsid w:val="00441B8D"/>
    <w:rsid w:val="004B5C1A"/>
    <w:rsid w:val="0052697F"/>
    <w:rsid w:val="00527327"/>
    <w:rsid w:val="005300F4"/>
    <w:rsid w:val="005473A5"/>
    <w:rsid w:val="00553D33"/>
    <w:rsid w:val="0057169D"/>
    <w:rsid w:val="00582149"/>
    <w:rsid w:val="00593816"/>
    <w:rsid w:val="00597048"/>
    <w:rsid w:val="005A55F5"/>
    <w:rsid w:val="005A58BC"/>
    <w:rsid w:val="005B498E"/>
    <w:rsid w:val="005C430E"/>
    <w:rsid w:val="005D5266"/>
    <w:rsid w:val="005E2DA9"/>
    <w:rsid w:val="00631DAE"/>
    <w:rsid w:val="00640E8A"/>
    <w:rsid w:val="0065592D"/>
    <w:rsid w:val="0066399F"/>
    <w:rsid w:val="0066595A"/>
    <w:rsid w:val="006B2179"/>
    <w:rsid w:val="006C2430"/>
    <w:rsid w:val="006D2B91"/>
    <w:rsid w:val="007360CB"/>
    <w:rsid w:val="00751441"/>
    <w:rsid w:val="00760E88"/>
    <w:rsid w:val="007849F5"/>
    <w:rsid w:val="00794B33"/>
    <w:rsid w:val="007D6777"/>
    <w:rsid w:val="007D6EAB"/>
    <w:rsid w:val="007E27A4"/>
    <w:rsid w:val="007E51DA"/>
    <w:rsid w:val="007F7A52"/>
    <w:rsid w:val="00823682"/>
    <w:rsid w:val="00826AEF"/>
    <w:rsid w:val="0083694E"/>
    <w:rsid w:val="00844BFA"/>
    <w:rsid w:val="00856128"/>
    <w:rsid w:val="00892B90"/>
    <w:rsid w:val="008C4E2A"/>
    <w:rsid w:val="008D7DD7"/>
    <w:rsid w:val="008E23FB"/>
    <w:rsid w:val="008F3887"/>
    <w:rsid w:val="009024E0"/>
    <w:rsid w:val="00923381"/>
    <w:rsid w:val="0093172C"/>
    <w:rsid w:val="00953306"/>
    <w:rsid w:val="00966DCF"/>
    <w:rsid w:val="009860C0"/>
    <w:rsid w:val="009940EB"/>
    <w:rsid w:val="009B5F30"/>
    <w:rsid w:val="009C27D0"/>
    <w:rsid w:val="009D588B"/>
    <w:rsid w:val="009F5E88"/>
    <w:rsid w:val="00A164C0"/>
    <w:rsid w:val="00A476BE"/>
    <w:rsid w:val="00A548B6"/>
    <w:rsid w:val="00A57CD7"/>
    <w:rsid w:val="00A80389"/>
    <w:rsid w:val="00A97D98"/>
    <w:rsid w:val="00AA6813"/>
    <w:rsid w:val="00AE0C27"/>
    <w:rsid w:val="00AE0CB9"/>
    <w:rsid w:val="00B030BE"/>
    <w:rsid w:val="00B058A7"/>
    <w:rsid w:val="00B20037"/>
    <w:rsid w:val="00B458ED"/>
    <w:rsid w:val="00B53D50"/>
    <w:rsid w:val="00B6161E"/>
    <w:rsid w:val="00B62AB4"/>
    <w:rsid w:val="00B7057E"/>
    <w:rsid w:val="00BF3D69"/>
    <w:rsid w:val="00C04721"/>
    <w:rsid w:val="00C049F0"/>
    <w:rsid w:val="00C317B2"/>
    <w:rsid w:val="00C35BEC"/>
    <w:rsid w:val="00C37409"/>
    <w:rsid w:val="00C71DC9"/>
    <w:rsid w:val="00C74CE9"/>
    <w:rsid w:val="00C9463E"/>
    <w:rsid w:val="00CB08F4"/>
    <w:rsid w:val="00CB7D3D"/>
    <w:rsid w:val="00CD2264"/>
    <w:rsid w:val="00CF1F2D"/>
    <w:rsid w:val="00D0087A"/>
    <w:rsid w:val="00D13386"/>
    <w:rsid w:val="00D3721A"/>
    <w:rsid w:val="00D52ADA"/>
    <w:rsid w:val="00D65297"/>
    <w:rsid w:val="00D74FB5"/>
    <w:rsid w:val="00DB06FF"/>
    <w:rsid w:val="00DD6338"/>
    <w:rsid w:val="00DE77BC"/>
    <w:rsid w:val="00DF218D"/>
    <w:rsid w:val="00DF2F55"/>
    <w:rsid w:val="00E15487"/>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r@kernel.ua" TargetMode="External"/><Relationship Id="rId12" Type="http://schemas.openxmlformats.org/officeDocument/2006/relationships/hyperlink" Target="https://www.kernel.ua/investor-relations/shareholder-meetings/" TargetMode="External"/><Relationship Id="rId17" Type="http://schemas.openxmlformats.org/officeDocument/2006/relationships/hyperlink" Target="https://www.kernel.ua/investor-relations/shareholder-meetings/"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21862</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2021-07-27T14:36:00Z</dcterms:created>
  <dcterms:modified xsi:type="dcterms:W3CDTF">2022-05-25T10:16:00Z</dcterms:modified>
</cp:coreProperties>
</file>